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EAEF7F">
      <w:pPr>
        <w:numPr>
          <w:ilvl w:val="0"/>
          <w:numId w:val="2"/>
        </w:numPr>
        <w:spacing w:line="640" w:lineRule="exact"/>
        <w:jc w:val="center"/>
        <w:outlineLvl w:val="0"/>
        <w:rPr>
          <w:rFonts w:hint="eastAsia" w:ascii="方正小标宋简体" w:hAnsi="方正小标宋简体" w:eastAsia="方正小标宋简体" w:cs="方正小标宋简体"/>
          <w:color w:val="auto"/>
          <w:sz w:val="44"/>
          <w:szCs w:val="44"/>
        </w:rPr>
      </w:pPr>
      <w:bookmarkStart w:id="0" w:name="DYNAMIC—DWXX—tAj_dwmc"/>
      <w:r>
        <w:rPr>
          <w:rFonts w:hint="default" w:ascii="方正小标宋简体" w:hAnsi="方正小标宋简体" w:eastAsia="方正小标宋简体" w:cs="方正小标宋简体"/>
          <w:color w:val="000000"/>
          <w:sz w:val="44"/>
          <w:u w:val="none"/>
        </w:rPr>
        <w:t>洛阳市偃师区市场监督管理局</w:t>
      </w:r>
      <w:bookmarkEnd w:id="0"/>
    </w:p>
    <w:p w14:paraId="16311C6F">
      <w:pPr>
        <w:pStyle w:val="2"/>
        <w:keepNext w:val="0"/>
        <w:numPr>
          <w:ilvl w:val="0"/>
          <w:numId w:val="2"/>
        </w:numPr>
        <w:spacing w:before="0" w:after="0" w:line="640" w:lineRule="exact"/>
        <w:jc w:val="center"/>
        <w:rPr>
          <w:rFonts w:hint="eastAsia" w:eastAsia="方正小标宋简体" w:cs="方正小标宋简体"/>
          <w:color w:val="auto"/>
          <w:sz w:val="44"/>
          <w:szCs w:val="44"/>
        </w:rPr>
      </w:pPr>
      <w:bookmarkStart w:id="1" w:name="_Toc76683344"/>
      <w:r>
        <w:rPr>
          <w:rFonts w:hint="eastAsia" w:hAnsi="方正小标宋简体" w:eastAsia="方正小标宋简体" w:cs="方正小标宋简体"/>
          <w:color w:val="000000"/>
          <w:sz w:val="44"/>
          <w:szCs w:val="44"/>
          <w:u w:val="none"/>
          <w:lang w:val="en-US"/>
        </w:rPr>
        <w:t>行政处罚</w:t>
      </w:r>
      <w:r>
        <w:rPr>
          <w:rFonts w:hint="eastAsia" w:hAnsi="方正小标宋简体" w:eastAsia="方正小标宋简体" w:cs="方正小标宋简体"/>
          <w:color w:val="000000"/>
          <w:sz w:val="44"/>
          <w:szCs w:val="44"/>
          <w:u w:val="none"/>
          <w:lang w:val="en-US" w:eastAsia="zh-Hans"/>
        </w:rPr>
        <w:t>决定</w:t>
      </w:r>
      <w:r>
        <w:rPr>
          <w:rFonts w:hint="eastAsia" w:hAnsi="方正小标宋简体" w:eastAsia="方正小标宋简体" w:cs="方正小标宋简体"/>
          <w:color w:val="000000"/>
          <w:sz w:val="44"/>
          <w:szCs w:val="44"/>
          <w:u w:val="none"/>
          <w:lang w:val="en-US"/>
        </w:rPr>
        <w:t>书</w:t>
      </w:r>
      <w:bookmarkEnd w:id="1"/>
    </w:p>
    <w:p w14:paraId="2DFCD9ED">
      <w:pPr>
        <w:widowControl/>
        <w:snapToGrid w:val="0"/>
        <w:spacing w:line="560" w:lineRule="exact"/>
        <w:ind w:right="55"/>
        <w:jc w:val="center"/>
        <w:outlineLvl w:val="1"/>
        <w:rPr>
          <w:rFonts w:hint="eastAsia" w:ascii="Times New Roman" w:hAnsi="仿宋_GB2312" w:eastAsia="仿宋_GB2312" w:cs="仿宋_GB2312"/>
          <w:bCs/>
          <w:color w:val="auto"/>
          <w:sz w:val="32"/>
          <w:szCs w:val="32"/>
        </w:rPr>
      </w:pPr>
      <w:bookmarkStart w:id="2" w:name="tAj_wh"/>
      <w:r>
        <w:rPr>
          <w:rFonts w:hint="eastAsia" w:ascii="Times New Roman" w:hAnsi="Times New Roman" w:eastAsia="仿宋_GB2312" w:cs="Mongolian Baiti"/>
          <w:color w:val="000000"/>
          <w:sz w:val="32"/>
          <w:u w:val="none"/>
        </w:rPr>
        <w:t>偃市监处罚〔2025〕32号</w:t>
      </w:r>
      <w:bookmarkEnd w:id="2"/>
    </w:p>
    <w:p w14:paraId="1E16AE60">
      <w:pPr>
        <w:keepNext w:val="0"/>
        <w:keepLines w:val="0"/>
        <w:pageBreakBefore w:val="0"/>
        <w:wordWrap/>
        <w:overflowPunct/>
        <w:topLinePunct w:val="0"/>
        <w:bidi w:val="0"/>
        <w:spacing w:line="560" w:lineRule="exact"/>
        <w:ind w:left="140" w:hanging="140"/>
        <w:rPr>
          <w:rFonts w:hint="eastAsia" w:ascii="仿宋_GB2312" w:hAnsi="仿宋_GB2312" w:eastAsia="仿宋_GB2312" w:cs="仿宋_GB2312"/>
          <w:bCs/>
          <w:kern w:val="1"/>
          <w:sz w:val="32"/>
          <w:szCs w:val="32"/>
          <w:lang w:eastAsia="zh-CN"/>
        </w:rPr>
      </w:pPr>
      <w:r>
        <w:rPr>
          <w:rFonts w:hint="eastAsia" w:ascii="仿宋_GB2312" w:hAnsi="仿宋_GB2312" w:eastAsia="仿宋_GB2312" w:cs="仿宋_GB2312"/>
          <w:bCs/>
          <w:kern w:val="1"/>
          <w:sz w:val="32"/>
          <w:szCs w:val="32"/>
        </w:rPr>
        <w:t>当事人：</w:t>
      </w:r>
      <w:r>
        <w:rPr>
          <w:rFonts w:hint="eastAsia" w:ascii="仿宋_GB2312" w:hAnsi="仿宋_GB2312" w:eastAsia="仿宋_GB2312" w:cs="仿宋_GB2312"/>
          <w:bCs/>
          <w:kern w:val="1"/>
          <w:sz w:val="32"/>
          <w:szCs w:val="32"/>
          <w:lang w:eastAsia="zh-CN"/>
        </w:rPr>
        <w:t>洛阳春晖鞋业有限公司</w:t>
      </w:r>
    </w:p>
    <w:p w14:paraId="5132E3DE">
      <w:pPr>
        <w:keepNext w:val="0"/>
        <w:keepLines w:val="0"/>
        <w:pageBreakBefore w:val="0"/>
        <w:wordWrap/>
        <w:overflowPunct/>
        <w:topLinePunct w:val="0"/>
        <w:bidi w:val="0"/>
        <w:spacing w:line="560" w:lineRule="exact"/>
        <w:ind w:left="140" w:hanging="140"/>
        <w:rPr>
          <w:rFonts w:hint="eastAsia" w:ascii="仿宋_GB2312" w:hAnsi="仿宋_GB2312" w:eastAsia="仿宋_GB2312" w:cs="仿宋_GB2312"/>
          <w:sz w:val="32"/>
          <w:szCs w:val="32"/>
        </w:rPr>
      </w:pPr>
      <w:r>
        <w:rPr>
          <w:rFonts w:hint="eastAsia" w:ascii="仿宋_GB2312" w:hAnsi="仿宋_GB2312" w:eastAsia="仿宋_GB2312" w:cs="仿宋_GB2312"/>
          <w:bCs/>
          <w:kern w:val="1"/>
          <w:sz w:val="32"/>
          <w:szCs w:val="32"/>
        </w:rPr>
        <w:t>主体资格证照</w:t>
      </w:r>
      <w:r>
        <w:rPr>
          <w:rFonts w:hint="eastAsia" w:ascii="仿宋_GB2312" w:hAnsi="仿宋_GB2312" w:eastAsia="仿宋_GB2312" w:cs="仿宋_GB2312"/>
          <w:kern w:val="1"/>
          <w:sz w:val="32"/>
          <w:szCs w:val="32"/>
        </w:rPr>
        <w:t>名称：</w:t>
      </w:r>
      <w:r>
        <w:rPr>
          <w:rFonts w:hint="eastAsia" w:ascii="仿宋_GB2312" w:hAnsi="仿宋_GB2312" w:eastAsia="仿宋_GB2312" w:cs="仿宋_GB2312"/>
          <w:kern w:val="1"/>
          <w:sz w:val="32"/>
          <w:szCs w:val="32"/>
          <w:u w:val="none"/>
          <w:lang w:eastAsia="zh-CN"/>
        </w:rPr>
        <w:t>营业执照</w:t>
      </w:r>
      <w:r>
        <w:rPr>
          <w:rFonts w:hint="eastAsia" w:ascii="仿宋_GB2312" w:hAnsi="仿宋_GB2312" w:eastAsia="仿宋_GB2312" w:cs="仿宋_GB2312"/>
          <w:kern w:val="1"/>
          <w:sz w:val="32"/>
          <w:szCs w:val="32"/>
          <w:u w:val="none"/>
        </w:rPr>
        <w:t xml:space="preserve">                         </w:t>
      </w:r>
      <w:r>
        <w:rPr>
          <w:rFonts w:hint="eastAsia" w:ascii="仿宋_GB2312" w:hAnsi="仿宋_GB2312" w:eastAsia="仿宋_GB2312" w:cs="仿宋_GB2312"/>
          <w:kern w:val="1"/>
          <w:sz w:val="32"/>
          <w:szCs w:val="32"/>
          <w:u w:val="single"/>
        </w:rPr>
        <w:t xml:space="preserve">            </w:t>
      </w:r>
    </w:p>
    <w:p w14:paraId="5727BB4D">
      <w:pPr>
        <w:keepNext w:val="0"/>
        <w:keepLines w:val="0"/>
        <w:pageBreakBefore w:val="0"/>
        <w:wordWrap/>
        <w:overflowPunct/>
        <w:topLinePunct w:val="0"/>
        <w:bidi w:val="0"/>
        <w:spacing w:line="560" w:lineRule="exact"/>
        <w:ind w:left="140" w:hanging="140"/>
        <w:rPr>
          <w:rFonts w:hint="eastAsia" w:ascii="仿宋_GB2312" w:hAnsi="仿宋_GB2312" w:eastAsia="仿宋_GB2312" w:cs="仿宋_GB2312"/>
          <w:kern w:val="1"/>
          <w:sz w:val="32"/>
          <w:szCs w:val="32"/>
          <w:u w:val="single"/>
        </w:rPr>
      </w:pPr>
      <w:r>
        <w:rPr>
          <w:rFonts w:hint="eastAsia" w:ascii="仿宋_GB2312" w:hAnsi="仿宋_GB2312" w:eastAsia="仿宋_GB2312" w:cs="仿宋_GB2312"/>
          <w:kern w:val="1"/>
          <w:sz w:val="32"/>
          <w:szCs w:val="32"/>
        </w:rPr>
        <w:t>统一社会信用代码：</w:t>
      </w:r>
      <w:r>
        <w:rPr>
          <w:rFonts w:hint="eastAsia" w:ascii="仿宋_GB2312" w:hAnsi="仿宋_GB2312" w:eastAsia="仿宋_GB2312" w:cs="仿宋_GB2312"/>
          <w:kern w:val="1"/>
          <w:sz w:val="32"/>
          <w:szCs w:val="32"/>
          <w:lang w:val="en-US" w:eastAsia="zh-CN"/>
        </w:rPr>
        <w:t>914103817648972170</w:t>
      </w:r>
      <w:r>
        <w:rPr>
          <w:rFonts w:hint="eastAsia" w:ascii="仿宋_GB2312" w:hAnsi="仿宋_GB2312" w:eastAsia="仿宋_GB2312" w:cs="仿宋_GB2312"/>
          <w:kern w:val="1"/>
          <w:sz w:val="32"/>
          <w:szCs w:val="32"/>
          <w:u w:val="none"/>
        </w:rPr>
        <w:t xml:space="preserve">                 </w:t>
      </w:r>
      <w:r>
        <w:rPr>
          <w:rFonts w:hint="eastAsia" w:ascii="仿宋_GB2312" w:hAnsi="仿宋_GB2312" w:eastAsia="仿宋_GB2312" w:cs="仿宋_GB2312"/>
          <w:kern w:val="1"/>
          <w:sz w:val="32"/>
          <w:szCs w:val="32"/>
          <w:u w:val="single"/>
        </w:rPr>
        <w:t xml:space="preserve">                     </w:t>
      </w:r>
    </w:p>
    <w:p w14:paraId="731C9738">
      <w:pPr>
        <w:keepNext w:val="0"/>
        <w:keepLines w:val="0"/>
        <w:pageBreakBefore w:val="0"/>
        <w:wordWrap/>
        <w:overflowPunct/>
        <w:topLinePunct w:val="0"/>
        <w:bidi w:val="0"/>
        <w:spacing w:line="560" w:lineRule="exact"/>
        <w:rPr>
          <w:rFonts w:hint="eastAsia"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住所：</w:t>
      </w:r>
      <w:r>
        <w:rPr>
          <w:rFonts w:hint="eastAsia" w:ascii="仿宋_GB2312" w:hAnsi="仿宋_GB2312" w:eastAsia="仿宋_GB2312" w:cs="仿宋_GB2312"/>
          <w:kern w:val="1"/>
          <w:sz w:val="32"/>
          <w:szCs w:val="32"/>
          <w:lang w:eastAsia="zh-CN"/>
        </w:rPr>
        <w:t>河南省洛阳市偃师区槐新街道城西社区</w:t>
      </w:r>
      <w:r>
        <w:rPr>
          <w:rFonts w:hint="eastAsia" w:ascii="仿宋_GB2312" w:hAnsi="仿宋_GB2312" w:eastAsia="仿宋_GB2312" w:cs="仿宋_GB2312"/>
          <w:kern w:val="1"/>
          <w:sz w:val="32"/>
          <w:szCs w:val="32"/>
          <w:lang w:val="en-US" w:eastAsia="zh-CN"/>
        </w:rPr>
        <w:t>-1号</w:t>
      </w:r>
    </w:p>
    <w:p w14:paraId="6EF9E996">
      <w:pPr>
        <w:keepNext w:val="0"/>
        <w:keepLines w:val="0"/>
        <w:pageBreakBefore w:val="0"/>
        <w:wordWrap/>
        <w:overflowPunct/>
        <w:topLinePunct w:val="0"/>
        <w:bidi w:val="0"/>
        <w:spacing w:line="560" w:lineRule="exact"/>
        <w:rPr>
          <w:rFonts w:hint="eastAsia" w:ascii="仿宋_GB2312" w:hAnsi="仿宋_GB2312" w:eastAsia="仿宋_GB2312" w:cs="仿宋_GB2312"/>
          <w:kern w:val="1"/>
          <w:sz w:val="32"/>
          <w:szCs w:val="32"/>
          <w:u w:val="none"/>
        </w:rPr>
      </w:pPr>
      <w:r>
        <w:rPr>
          <w:rFonts w:hint="eastAsia" w:ascii="仿宋_GB2312" w:hAnsi="仿宋_GB2312" w:eastAsia="仿宋_GB2312" w:cs="仿宋_GB2312"/>
          <w:kern w:val="1"/>
          <w:sz w:val="32"/>
          <w:szCs w:val="32"/>
          <w:lang w:eastAsia="zh-CN"/>
        </w:rPr>
        <w:t>法定代表</w:t>
      </w:r>
      <w:r>
        <w:rPr>
          <w:rFonts w:hint="eastAsia" w:ascii="仿宋_GB2312" w:hAnsi="仿宋_GB2312" w:eastAsia="仿宋_GB2312" w:cs="仿宋_GB2312"/>
          <w:kern w:val="1"/>
          <w:sz w:val="32"/>
          <w:szCs w:val="32"/>
        </w:rPr>
        <w:t>人：</w:t>
      </w:r>
      <w:r>
        <w:rPr>
          <w:rFonts w:hint="eastAsia" w:ascii="仿宋_GB2312" w:hAnsi="仿宋_GB2312" w:eastAsia="仿宋_GB2312" w:cs="仿宋_GB2312"/>
          <w:kern w:val="1"/>
          <w:sz w:val="32"/>
          <w:szCs w:val="32"/>
          <w:lang w:eastAsia="zh-CN"/>
        </w:rPr>
        <w:t>刘国辉</w:t>
      </w:r>
      <w:r>
        <w:rPr>
          <w:rFonts w:hint="eastAsia" w:ascii="仿宋_GB2312" w:hAnsi="仿宋_GB2312" w:eastAsia="仿宋_GB2312" w:cs="仿宋_GB2312"/>
          <w:kern w:val="1"/>
          <w:sz w:val="32"/>
          <w:szCs w:val="32"/>
          <w:u w:val="none"/>
        </w:rPr>
        <w:t xml:space="preserve">                                  </w:t>
      </w:r>
      <w:bookmarkStart w:id="3" w:name="_GoBack"/>
      <w:bookmarkEnd w:id="3"/>
    </w:p>
    <w:p w14:paraId="1197DF17">
      <w:pPr>
        <w:keepNext w:val="0"/>
        <w:keepLines w:val="0"/>
        <w:pageBreakBefore w:val="0"/>
        <w:widowControl/>
        <w:kinsoku/>
        <w:wordWrap/>
        <w:overflowPunct/>
        <w:topLinePunct w:val="0"/>
        <w:bidi w:val="0"/>
        <w:adjustRightInd/>
        <w:snapToGrid/>
        <w:spacing w:line="560" w:lineRule="exact"/>
        <w:ind w:right="105" w:rightChars="50" w:firstLine="640" w:firstLineChars="200"/>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val="en-US" w:eastAsia="zh-CN"/>
        </w:rPr>
        <w:t>2025年1月9日，我局执法人员对当事人进行检查，现场</w:t>
      </w:r>
      <w:r>
        <w:rPr>
          <w:rFonts w:hint="eastAsia" w:ascii="仿宋_GB2312" w:hAnsi="仿宋_GB2312" w:eastAsia="仿宋_GB2312" w:cs="仿宋_GB2312"/>
          <w:bCs/>
          <w:sz w:val="32"/>
          <w:szCs w:val="32"/>
          <w:u w:val="none" w:color="auto"/>
        </w:rPr>
        <w:t>发现有</w:t>
      </w:r>
      <w:r>
        <w:rPr>
          <w:rFonts w:hint="eastAsia" w:ascii="仿宋_GB2312" w:hAnsi="仿宋_GB2312" w:eastAsia="仿宋_GB2312" w:cs="仿宋_GB2312"/>
          <w:bCs/>
          <w:sz w:val="32"/>
          <w:szCs w:val="32"/>
          <w:u w:val="none" w:color="auto"/>
          <w:lang w:eastAsia="zh-CN"/>
        </w:rPr>
        <w:t>成品</w:t>
      </w:r>
      <w:r>
        <w:rPr>
          <w:rFonts w:hint="eastAsia" w:ascii="仿宋_GB2312" w:hAnsi="仿宋_GB2312" w:eastAsia="仿宋_GB2312" w:cs="仿宋_GB2312"/>
          <w:bCs/>
          <w:sz w:val="32"/>
          <w:szCs w:val="32"/>
          <w:u w:val="none" w:color="auto"/>
        </w:rPr>
        <w:t>鞋</w:t>
      </w:r>
      <w:r>
        <w:rPr>
          <w:rFonts w:hint="eastAsia" w:ascii="仿宋_GB2312" w:hAnsi="仿宋_GB2312" w:eastAsia="仿宋_GB2312" w:cs="仿宋_GB2312"/>
          <w:bCs/>
          <w:sz w:val="32"/>
          <w:szCs w:val="32"/>
          <w:u w:val="none" w:color="auto"/>
          <w:lang w:val="en-US" w:eastAsia="zh-CN"/>
        </w:rPr>
        <w:t>25</w:t>
      </w:r>
      <w:r>
        <w:rPr>
          <w:rFonts w:hint="eastAsia" w:ascii="仿宋_GB2312" w:hAnsi="仿宋_GB2312" w:eastAsia="仿宋_GB2312" w:cs="仿宋_GB2312"/>
          <w:bCs/>
          <w:sz w:val="32"/>
          <w:szCs w:val="32"/>
          <w:u w:val="none" w:color="auto"/>
        </w:rPr>
        <w:t>双</w:t>
      </w:r>
      <w:r>
        <w:rPr>
          <w:rFonts w:hint="eastAsia" w:ascii="仿宋_GB2312" w:hAnsi="仿宋_GB2312" w:eastAsia="仿宋_GB2312" w:cs="仿宋_GB2312"/>
          <w:bCs/>
          <w:sz w:val="32"/>
          <w:szCs w:val="32"/>
          <w:u w:val="none" w:color="auto"/>
          <w:lang w:eastAsia="zh-CN"/>
        </w:rPr>
        <w:t>（耐克标识布鞋</w:t>
      </w:r>
      <w:r>
        <w:rPr>
          <w:rFonts w:hint="eastAsia" w:ascii="仿宋_GB2312" w:hAnsi="仿宋_GB2312" w:eastAsia="仿宋_GB2312" w:cs="仿宋_GB2312"/>
          <w:bCs/>
          <w:sz w:val="32"/>
          <w:szCs w:val="32"/>
          <w:u w:val="none" w:color="auto"/>
          <w:lang w:val="en-US" w:eastAsia="zh-CN"/>
        </w:rPr>
        <w:t>1</w:t>
      </w:r>
      <w:r>
        <w:rPr>
          <w:rFonts w:hint="eastAsia" w:ascii="仿宋_GB2312" w:hAnsi="仿宋_GB2312" w:eastAsia="仿宋_GB2312" w:cs="仿宋_GB2312"/>
          <w:bCs/>
          <w:sz w:val="32"/>
          <w:szCs w:val="32"/>
          <w:u w:val="none" w:color="auto"/>
        </w:rPr>
        <w:t>0双</w:t>
      </w:r>
      <w:r>
        <w:rPr>
          <w:rFonts w:hint="eastAsia" w:ascii="仿宋_GB2312" w:hAnsi="仿宋_GB2312" w:eastAsia="仿宋_GB2312" w:cs="仿宋_GB2312"/>
          <w:bCs/>
          <w:sz w:val="32"/>
          <w:szCs w:val="32"/>
          <w:u w:val="none" w:color="auto"/>
          <w:lang w:eastAsia="zh-CN"/>
        </w:rPr>
        <w:t>、耐克标识凉鞋</w:t>
      </w:r>
      <w:r>
        <w:rPr>
          <w:rFonts w:hint="eastAsia" w:ascii="仿宋_GB2312" w:hAnsi="仿宋_GB2312" w:eastAsia="仿宋_GB2312" w:cs="仿宋_GB2312"/>
          <w:bCs/>
          <w:sz w:val="32"/>
          <w:szCs w:val="32"/>
          <w:u w:val="none" w:color="auto"/>
          <w:lang w:val="en-US" w:eastAsia="zh-CN"/>
        </w:rPr>
        <w:t>8</w:t>
      </w:r>
      <w:r>
        <w:rPr>
          <w:rFonts w:hint="eastAsia" w:ascii="仿宋_GB2312" w:hAnsi="仿宋_GB2312" w:eastAsia="仿宋_GB2312" w:cs="仿宋_GB2312"/>
          <w:bCs/>
          <w:sz w:val="32"/>
          <w:szCs w:val="32"/>
          <w:u w:val="none" w:color="auto"/>
        </w:rPr>
        <w:t>双</w:t>
      </w:r>
      <w:r>
        <w:rPr>
          <w:rFonts w:hint="eastAsia" w:ascii="仿宋_GB2312" w:hAnsi="仿宋_GB2312" w:eastAsia="仿宋_GB2312" w:cs="仿宋_GB2312"/>
          <w:bCs/>
          <w:sz w:val="32"/>
          <w:szCs w:val="32"/>
          <w:u w:val="none" w:color="auto"/>
          <w:lang w:eastAsia="zh-CN"/>
        </w:rPr>
        <w:t>、阿迪</w:t>
      </w:r>
      <w:r>
        <w:rPr>
          <w:rFonts w:hint="eastAsia" w:ascii="仿宋_GB2312" w:hAnsi="仿宋_GB2312" w:eastAsia="仿宋_GB2312" w:cs="仿宋_GB2312"/>
          <w:bCs/>
          <w:sz w:val="32"/>
          <w:szCs w:val="32"/>
          <w:u w:val="none" w:color="auto"/>
        </w:rPr>
        <w:t>标识</w:t>
      </w:r>
      <w:r>
        <w:rPr>
          <w:rFonts w:hint="eastAsia" w:ascii="仿宋_GB2312" w:hAnsi="仿宋_GB2312" w:eastAsia="仿宋_GB2312" w:cs="仿宋_GB2312"/>
          <w:bCs/>
          <w:sz w:val="32"/>
          <w:szCs w:val="32"/>
          <w:u w:val="none" w:color="auto"/>
          <w:lang w:eastAsia="zh-CN"/>
        </w:rPr>
        <w:t>凉鞋</w:t>
      </w:r>
      <w:r>
        <w:rPr>
          <w:rFonts w:hint="eastAsia" w:ascii="仿宋_GB2312" w:hAnsi="仿宋_GB2312" w:eastAsia="仿宋_GB2312" w:cs="仿宋_GB2312"/>
          <w:bCs/>
          <w:sz w:val="32"/>
          <w:szCs w:val="32"/>
          <w:u w:val="none" w:color="auto"/>
          <w:lang w:val="en-US" w:eastAsia="zh-CN"/>
        </w:rPr>
        <w:t>7双</w:t>
      </w:r>
      <w:r>
        <w:rPr>
          <w:rFonts w:hint="eastAsia" w:ascii="仿宋_GB2312" w:hAnsi="仿宋_GB2312" w:eastAsia="仿宋_GB2312" w:cs="仿宋_GB2312"/>
          <w:bCs/>
          <w:sz w:val="32"/>
          <w:szCs w:val="32"/>
          <w:u w:val="none" w:color="auto"/>
          <w:lang w:eastAsia="zh-CN"/>
        </w:rPr>
        <w:t>）</w:t>
      </w:r>
      <w:r>
        <w:rPr>
          <w:rFonts w:hint="eastAsia" w:ascii="仿宋_GB2312" w:hAnsi="仿宋_GB2312" w:eastAsia="仿宋_GB2312" w:cs="仿宋_GB2312"/>
          <w:bCs/>
          <w:sz w:val="32"/>
          <w:szCs w:val="32"/>
          <w:u w:val="none" w:color="auto"/>
          <w:lang w:val="en-US" w:eastAsia="zh-CN"/>
        </w:rPr>
        <w:t>；</w:t>
      </w:r>
      <w:r>
        <w:rPr>
          <w:rFonts w:hint="eastAsia" w:ascii="仿宋_GB2312" w:hAnsi="仿宋_GB2312" w:eastAsia="仿宋_GB2312" w:cs="仿宋_GB2312"/>
          <w:bCs/>
          <w:sz w:val="32"/>
          <w:szCs w:val="32"/>
          <w:u w:val="none" w:color="auto"/>
        </w:rPr>
        <w:t>鞋帮4</w:t>
      </w:r>
      <w:r>
        <w:rPr>
          <w:rFonts w:hint="eastAsia" w:ascii="仿宋_GB2312" w:hAnsi="仿宋_GB2312" w:eastAsia="仿宋_GB2312" w:cs="仿宋_GB2312"/>
          <w:bCs/>
          <w:sz w:val="32"/>
          <w:szCs w:val="32"/>
          <w:u w:val="none" w:color="auto"/>
          <w:lang w:val="en-US" w:eastAsia="zh-CN"/>
        </w:rPr>
        <w:t>5</w:t>
      </w:r>
      <w:r>
        <w:rPr>
          <w:rFonts w:hint="eastAsia" w:ascii="仿宋_GB2312" w:hAnsi="仿宋_GB2312" w:eastAsia="仿宋_GB2312" w:cs="仿宋_GB2312"/>
          <w:bCs/>
          <w:sz w:val="32"/>
          <w:szCs w:val="32"/>
          <w:u w:val="none" w:color="auto"/>
        </w:rPr>
        <w:t>双</w:t>
      </w:r>
      <w:r>
        <w:rPr>
          <w:rFonts w:hint="eastAsia" w:ascii="仿宋_GB2312" w:hAnsi="仿宋_GB2312" w:eastAsia="仿宋_GB2312" w:cs="仿宋_GB2312"/>
          <w:bCs/>
          <w:sz w:val="32"/>
          <w:szCs w:val="32"/>
          <w:u w:val="none" w:color="auto"/>
          <w:lang w:eastAsia="zh-CN"/>
        </w:rPr>
        <w:t>（</w:t>
      </w:r>
      <w:r>
        <w:rPr>
          <w:rFonts w:hint="eastAsia" w:ascii="仿宋_GB2312" w:hAnsi="仿宋_GB2312" w:eastAsia="仿宋_GB2312" w:cs="仿宋_GB2312"/>
          <w:bCs/>
          <w:sz w:val="32"/>
          <w:szCs w:val="32"/>
          <w:u w:val="none" w:color="auto"/>
        </w:rPr>
        <w:t>耐克标识</w:t>
      </w:r>
      <w:r>
        <w:rPr>
          <w:rFonts w:hint="eastAsia" w:ascii="仿宋_GB2312" w:hAnsi="仿宋_GB2312" w:eastAsia="仿宋_GB2312" w:cs="仿宋_GB2312"/>
          <w:bCs/>
          <w:sz w:val="32"/>
          <w:szCs w:val="32"/>
          <w:u w:val="none" w:color="auto"/>
          <w:lang w:val="en-US" w:eastAsia="zh-CN"/>
        </w:rPr>
        <w:t>20双、</w:t>
      </w:r>
      <w:r>
        <w:rPr>
          <w:rFonts w:hint="eastAsia" w:ascii="仿宋_GB2312" w:hAnsi="仿宋_GB2312" w:eastAsia="仿宋_GB2312" w:cs="仿宋_GB2312"/>
          <w:bCs/>
          <w:sz w:val="32"/>
          <w:szCs w:val="32"/>
          <w:u w:val="none" w:color="auto"/>
          <w:lang w:eastAsia="zh-CN"/>
        </w:rPr>
        <w:t>阿迪</w:t>
      </w:r>
      <w:r>
        <w:rPr>
          <w:rFonts w:hint="eastAsia" w:ascii="仿宋_GB2312" w:hAnsi="仿宋_GB2312" w:eastAsia="仿宋_GB2312" w:cs="仿宋_GB2312"/>
          <w:bCs/>
          <w:sz w:val="32"/>
          <w:szCs w:val="32"/>
          <w:u w:val="none" w:color="auto"/>
        </w:rPr>
        <w:t>标识</w:t>
      </w:r>
      <w:r>
        <w:rPr>
          <w:rFonts w:hint="eastAsia" w:ascii="仿宋_GB2312" w:hAnsi="仿宋_GB2312" w:eastAsia="仿宋_GB2312" w:cs="仿宋_GB2312"/>
          <w:bCs/>
          <w:sz w:val="32"/>
          <w:szCs w:val="32"/>
          <w:u w:val="none" w:color="auto"/>
          <w:lang w:val="en-US" w:eastAsia="zh-CN"/>
        </w:rPr>
        <w:t>25双</w:t>
      </w:r>
      <w:r>
        <w:rPr>
          <w:rFonts w:hint="eastAsia" w:ascii="仿宋_GB2312" w:hAnsi="仿宋_GB2312" w:eastAsia="仿宋_GB2312" w:cs="仿宋_GB2312"/>
          <w:bCs/>
          <w:sz w:val="32"/>
          <w:szCs w:val="32"/>
          <w:u w:val="none" w:color="auto"/>
          <w:lang w:eastAsia="zh-CN"/>
        </w:rPr>
        <w:t>）。</w:t>
      </w:r>
      <w:r>
        <w:rPr>
          <w:rFonts w:hint="eastAsia" w:ascii="仿宋_GB2312" w:hAnsi="仿宋_GB2312" w:eastAsia="仿宋_GB2312" w:cs="仿宋_GB2312"/>
          <w:bCs/>
          <w:sz w:val="32"/>
          <w:szCs w:val="32"/>
          <w:u w:val="none" w:color="auto"/>
          <w:lang w:val="en-US" w:eastAsia="zh-CN"/>
        </w:rPr>
        <w:t>当事人</w:t>
      </w:r>
      <w:r>
        <w:rPr>
          <w:rFonts w:hint="eastAsia" w:ascii="仿宋_GB2312" w:hAnsi="仿宋_GB2312" w:eastAsia="仿宋_GB2312" w:cs="仿宋_GB2312"/>
          <w:bCs/>
          <w:sz w:val="32"/>
          <w:szCs w:val="32"/>
          <w:u w:val="none" w:color="auto"/>
        </w:rPr>
        <w:t>涉嫌</w:t>
      </w:r>
      <w:r>
        <w:rPr>
          <w:rFonts w:hint="eastAsia" w:ascii="仿宋_GB2312" w:hAnsi="仿宋_GB2312" w:eastAsia="仿宋_GB2312" w:cs="仿宋_GB2312"/>
          <w:bCs/>
          <w:sz w:val="32"/>
          <w:szCs w:val="32"/>
          <w:u w:val="none" w:color="auto"/>
          <w:lang w:eastAsia="zh-CN"/>
        </w:rPr>
        <w:t>侵犯他人注册商标专用权，我局</w:t>
      </w:r>
      <w:r>
        <w:rPr>
          <w:rFonts w:hint="eastAsia" w:ascii="仿宋_GB2312" w:hAnsi="仿宋_GB2312" w:eastAsia="仿宋_GB2312" w:cs="仿宋_GB2312"/>
          <w:bCs/>
          <w:sz w:val="32"/>
          <w:szCs w:val="32"/>
          <w:u w:val="none" w:color="auto"/>
        </w:rPr>
        <w:t>执法人员依法对上述物品进行了扣押</w:t>
      </w:r>
      <w:r>
        <w:rPr>
          <w:rFonts w:hint="eastAsia" w:ascii="仿宋_GB2312" w:hAnsi="仿宋_GB2312" w:eastAsia="仿宋_GB2312" w:cs="仿宋_GB2312"/>
          <w:bCs/>
          <w:sz w:val="32"/>
          <w:szCs w:val="32"/>
          <w:u w:val="none" w:color="auto"/>
          <w:lang w:eastAsia="zh-CN"/>
        </w:rPr>
        <w:t>。为进一步查清事实，于</w:t>
      </w:r>
      <w:r>
        <w:rPr>
          <w:rFonts w:hint="eastAsia" w:ascii="仿宋_GB2312" w:hAnsi="仿宋_GB2312" w:eastAsia="仿宋_GB2312" w:cs="仿宋_GB2312"/>
          <w:bCs/>
          <w:sz w:val="32"/>
          <w:szCs w:val="32"/>
          <w:u w:val="none" w:color="auto"/>
        </w:rPr>
        <w:t>202</w:t>
      </w:r>
      <w:r>
        <w:rPr>
          <w:rFonts w:hint="eastAsia" w:ascii="仿宋_GB2312" w:hAnsi="仿宋_GB2312" w:eastAsia="仿宋_GB2312" w:cs="仿宋_GB2312"/>
          <w:bCs/>
          <w:sz w:val="32"/>
          <w:szCs w:val="32"/>
          <w:u w:val="none" w:color="auto"/>
          <w:lang w:val="en-US" w:eastAsia="zh-CN"/>
        </w:rPr>
        <w:t>5</w:t>
      </w:r>
      <w:r>
        <w:rPr>
          <w:rFonts w:hint="eastAsia" w:ascii="仿宋_GB2312" w:hAnsi="仿宋_GB2312" w:eastAsia="仿宋_GB2312" w:cs="仿宋_GB2312"/>
          <w:bCs/>
          <w:sz w:val="32"/>
          <w:szCs w:val="32"/>
          <w:u w:val="none" w:color="auto"/>
        </w:rPr>
        <w:t>年</w:t>
      </w:r>
      <w:r>
        <w:rPr>
          <w:rFonts w:hint="eastAsia" w:ascii="仿宋_GB2312" w:hAnsi="仿宋_GB2312" w:eastAsia="仿宋_GB2312" w:cs="仿宋_GB2312"/>
          <w:bCs/>
          <w:sz w:val="32"/>
          <w:szCs w:val="32"/>
          <w:u w:val="none" w:color="auto"/>
          <w:lang w:eastAsia="zh-CN"/>
        </w:rPr>
        <w:t>1</w:t>
      </w:r>
      <w:r>
        <w:rPr>
          <w:rFonts w:hint="eastAsia" w:ascii="仿宋_GB2312" w:hAnsi="仿宋_GB2312" w:eastAsia="仿宋_GB2312" w:cs="仿宋_GB2312"/>
          <w:bCs/>
          <w:sz w:val="32"/>
          <w:szCs w:val="32"/>
          <w:u w:val="none" w:color="auto"/>
        </w:rPr>
        <w:t>月</w:t>
      </w:r>
      <w:r>
        <w:rPr>
          <w:rFonts w:hint="eastAsia" w:ascii="仿宋_GB2312" w:hAnsi="仿宋_GB2312" w:eastAsia="仿宋_GB2312" w:cs="仿宋_GB2312"/>
          <w:bCs/>
          <w:sz w:val="32"/>
          <w:szCs w:val="32"/>
          <w:u w:val="none" w:color="auto"/>
          <w:lang w:val="en-US" w:eastAsia="zh-CN"/>
        </w:rPr>
        <w:t>16</w:t>
      </w:r>
      <w:r>
        <w:rPr>
          <w:rFonts w:hint="eastAsia" w:ascii="仿宋_GB2312" w:hAnsi="仿宋_GB2312" w:eastAsia="仿宋_GB2312" w:cs="仿宋_GB2312"/>
          <w:bCs/>
          <w:sz w:val="32"/>
          <w:szCs w:val="32"/>
          <w:u w:val="none" w:color="auto"/>
        </w:rPr>
        <w:t>日</w:t>
      </w:r>
      <w:r>
        <w:rPr>
          <w:rFonts w:hint="eastAsia" w:ascii="仿宋_GB2312" w:hAnsi="仿宋_GB2312" w:eastAsia="仿宋_GB2312" w:cs="仿宋_GB2312"/>
          <w:bCs/>
          <w:sz w:val="32"/>
          <w:szCs w:val="32"/>
          <w:u w:val="none" w:color="auto"/>
          <w:lang w:eastAsia="zh-CN"/>
        </w:rPr>
        <w:t>报请</w:t>
      </w:r>
      <w:r>
        <w:rPr>
          <w:rFonts w:hint="eastAsia" w:ascii="仿宋_GB2312" w:hAnsi="仿宋_GB2312" w:eastAsia="仿宋_GB2312" w:cs="仿宋_GB2312"/>
          <w:bCs/>
          <w:sz w:val="32"/>
          <w:szCs w:val="32"/>
          <w:u w:val="none" w:color="auto"/>
        </w:rPr>
        <w:t>局</w:t>
      </w:r>
      <w:r>
        <w:rPr>
          <w:rFonts w:hint="eastAsia" w:ascii="仿宋_GB2312" w:hAnsi="仿宋_GB2312" w:eastAsia="仿宋_GB2312" w:cs="仿宋_GB2312"/>
          <w:bCs/>
          <w:sz w:val="32"/>
          <w:szCs w:val="32"/>
          <w:u w:val="none" w:color="auto"/>
          <w:lang w:eastAsia="zh-CN"/>
        </w:rPr>
        <w:t>主管领导批准，对该案进行调查。</w:t>
      </w:r>
    </w:p>
    <w:p w14:paraId="0577D546">
      <w:pPr>
        <w:keepNext w:val="0"/>
        <w:keepLines w:val="0"/>
        <w:pageBreakBefore w:val="0"/>
        <w:widowControl/>
        <w:kinsoku/>
        <w:wordWrap/>
        <w:overflowPunct/>
        <w:topLinePunct w:val="0"/>
        <w:bidi w:val="0"/>
        <w:adjustRightInd/>
        <w:snapToGrid/>
        <w:spacing w:line="560" w:lineRule="exact"/>
        <w:ind w:left="105" w:leftChars="50" w:right="105" w:rightChars="50" w:firstLine="640" w:firstLineChars="200"/>
        <w:jc w:val="left"/>
        <w:textAlignment w:val="auto"/>
        <w:rPr>
          <w:rFonts w:hint="eastAsia" w:ascii="仿宋_GB2312" w:hAnsi="仿宋_GB2312" w:eastAsia="仿宋_GB2312" w:cs="仿宋_GB2312"/>
          <w:bCs/>
          <w:sz w:val="32"/>
          <w:szCs w:val="32"/>
          <w:u w:val="none" w:color="auto"/>
          <w:lang w:val="en-US" w:eastAsia="zh-CN"/>
        </w:rPr>
      </w:pPr>
      <w:r>
        <w:rPr>
          <w:rFonts w:hint="eastAsia" w:ascii="仿宋_GB2312" w:hAnsi="仿宋_GB2312" w:eastAsia="仿宋_GB2312" w:cs="仿宋_GB2312"/>
          <w:bCs/>
          <w:sz w:val="32"/>
          <w:szCs w:val="32"/>
          <w:u w:val="none" w:color="auto"/>
          <w:lang w:val="en-US" w:eastAsia="zh-CN"/>
        </w:rPr>
        <w:t>经查：从当事人处查获的涉案的鞋及鞋帮，其上面标注的耐克、阿迪商标标识，与权利人耐克创新有限合伙公司、阿迪达斯有限公司经中华人民共和国国家工商行政管理总局商标局注册的第4581865号、第855786号、第169865号、第3921767号、第3336263号注册商标相同</w:t>
      </w:r>
      <w:r>
        <w:rPr>
          <w:rFonts w:hint="eastAsia" w:ascii="仿宋_GB2312" w:hAnsi="仿宋_GB2312" w:eastAsia="仿宋_GB2312" w:cs="仿宋_GB2312"/>
          <w:bCs/>
          <w:sz w:val="32"/>
          <w:szCs w:val="32"/>
          <w:u w:val="none" w:color="auto"/>
          <w:lang w:eastAsia="zh-CN"/>
        </w:rPr>
        <w:t>。</w:t>
      </w:r>
      <w:r>
        <w:rPr>
          <w:rFonts w:hint="eastAsia" w:ascii="仿宋_GB2312" w:hAnsi="仿宋_GB2312" w:eastAsia="仿宋_GB2312" w:cs="仿宋_GB2312"/>
          <w:bCs/>
          <w:sz w:val="32"/>
          <w:szCs w:val="32"/>
          <w:u w:val="none" w:color="auto"/>
          <w:lang w:val="en-US" w:eastAsia="zh-CN"/>
        </w:rPr>
        <w:t xml:space="preserve">                              </w:t>
      </w:r>
      <w:r>
        <w:rPr>
          <w:rFonts w:hint="eastAsia" w:ascii="仿宋_GB2312" w:hAnsi="仿宋_GB2312" w:eastAsia="仿宋_GB2312" w:cs="仿宋_GB2312"/>
          <w:bCs/>
          <w:sz w:val="32"/>
          <w:szCs w:val="32"/>
          <w:u w:val="none" w:color="auto"/>
          <w:lang w:val="en-US" w:eastAsia="zh-CN"/>
        </w:rPr>
        <w:tab/>
      </w:r>
      <w:r>
        <w:rPr>
          <w:rFonts w:hint="eastAsia" w:ascii="仿宋_GB2312" w:hAnsi="仿宋_GB2312" w:eastAsia="仿宋_GB2312" w:cs="仿宋_GB2312"/>
          <w:bCs/>
          <w:sz w:val="32"/>
          <w:szCs w:val="32"/>
          <w:u w:val="none" w:color="auto"/>
          <w:lang w:val="en-US" w:eastAsia="zh-CN"/>
        </w:rPr>
        <w:t xml:space="preserve">  2025年1月16日，</w:t>
      </w:r>
      <w:r>
        <w:rPr>
          <w:rFonts w:hint="eastAsia" w:ascii="仿宋_GB2312" w:hAnsi="仿宋_GB2312" w:eastAsia="仿宋_GB2312" w:cs="仿宋_GB2312"/>
          <w:bCs/>
          <w:sz w:val="32"/>
          <w:szCs w:val="32"/>
          <w:u w:val="none" w:color="auto"/>
          <w:lang w:eastAsia="zh-CN"/>
        </w:rPr>
        <w:t>我局委托耐克</w:t>
      </w:r>
      <w:r>
        <w:rPr>
          <w:rFonts w:hint="eastAsia" w:ascii="仿宋_GB2312" w:hAnsi="仿宋_GB2312" w:eastAsia="仿宋_GB2312" w:cs="仿宋_GB2312"/>
          <w:bCs/>
          <w:sz w:val="32"/>
          <w:szCs w:val="32"/>
          <w:u w:val="none" w:color="auto"/>
          <w:lang w:val="en-US" w:eastAsia="zh-CN"/>
        </w:rPr>
        <w:t>商标权利人“耐克创新有限合伙公司”授权方“耐克</w:t>
      </w:r>
      <w:r>
        <w:rPr>
          <w:rFonts w:hint="eastAsia" w:ascii="仿宋_GB2312" w:hAnsi="仿宋_GB2312" w:eastAsia="仿宋_GB2312" w:cs="仿宋_GB2312"/>
          <w:bCs/>
          <w:sz w:val="32"/>
          <w:szCs w:val="32"/>
          <w:u w:val="none" w:color="auto"/>
          <w:lang w:eastAsia="zh-CN"/>
        </w:rPr>
        <w:t>体育（中国）有限公司”及</w:t>
      </w:r>
      <w:r>
        <w:rPr>
          <w:rFonts w:hint="eastAsia" w:ascii="仿宋_GB2312" w:hAnsi="仿宋_GB2312" w:eastAsia="仿宋_GB2312" w:cs="仿宋_GB2312"/>
          <w:bCs/>
          <w:sz w:val="32"/>
          <w:szCs w:val="32"/>
          <w:u w:val="none" w:color="auto"/>
          <w:lang w:val="en-US" w:eastAsia="zh-CN"/>
        </w:rPr>
        <w:t>阿迪达斯商标权利人“阿迪达斯有限公司”授权方“阿迪达斯</w:t>
      </w:r>
      <w:r>
        <w:rPr>
          <w:rFonts w:hint="eastAsia" w:ascii="仿宋_GB2312" w:hAnsi="仿宋_GB2312" w:eastAsia="仿宋_GB2312" w:cs="仿宋_GB2312"/>
          <w:bCs/>
          <w:sz w:val="32"/>
          <w:szCs w:val="32"/>
          <w:u w:val="none" w:color="auto"/>
          <w:lang w:eastAsia="zh-CN"/>
        </w:rPr>
        <w:t>体育（中国）有限公司”进行鉴定：是否授权当事人加工、制作、储存销售其商标标识</w:t>
      </w:r>
      <w:r>
        <w:rPr>
          <w:rFonts w:hint="eastAsia" w:ascii="仿宋_GB2312" w:hAnsi="仿宋_GB2312" w:eastAsia="仿宋_GB2312" w:cs="仿宋_GB2312"/>
          <w:bCs/>
          <w:sz w:val="32"/>
          <w:szCs w:val="32"/>
          <w:u w:val="none" w:color="auto"/>
          <w:lang w:val="en-US" w:eastAsia="zh-CN"/>
        </w:rPr>
        <w:t>？涉案鞋是否为侵犯其公司注册商标专用权的产品？</w:t>
      </w:r>
    </w:p>
    <w:p w14:paraId="3657B625">
      <w:pPr>
        <w:keepNext w:val="0"/>
        <w:keepLines w:val="0"/>
        <w:pageBreakBefore w:val="0"/>
        <w:widowControl/>
        <w:kinsoku/>
        <w:wordWrap/>
        <w:overflowPunct/>
        <w:topLinePunct w:val="0"/>
        <w:bidi w:val="0"/>
        <w:adjustRightInd/>
        <w:snapToGrid/>
        <w:spacing w:line="560" w:lineRule="exact"/>
        <w:ind w:left="105" w:leftChars="50" w:right="105" w:rightChars="50" w:firstLine="640" w:firstLineChars="200"/>
        <w:textAlignment w:val="auto"/>
        <w:rPr>
          <w:rFonts w:hint="eastAsia" w:ascii="仿宋_GB2312" w:hAnsi="仿宋_GB2312" w:eastAsia="仿宋_GB2312" w:cs="仿宋_GB2312"/>
          <w:bCs/>
          <w:sz w:val="32"/>
          <w:szCs w:val="32"/>
          <w:u w:val="none" w:color="auto"/>
          <w:lang w:val="en-US" w:eastAsia="zh-CN"/>
        </w:rPr>
      </w:pPr>
      <w:r>
        <w:rPr>
          <w:rFonts w:hint="eastAsia" w:ascii="仿宋_GB2312" w:hAnsi="仿宋_GB2312" w:eastAsia="仿宋_GB2312" w:cs="仿宋_GB2312"/>
          <w:bCs/>
          <w:sz w:val="32"/>
          <w:szCs w:val="32"/>
          <w:u w:val="none" w:color="auto"/>
          <w:lang w:val="en-US" w:eastAsia="zh-CN"/>
        </w:rPr>
        <w:t>2025年1月26日,</w:t>
      </w:r>
      <w:r>
        <w:rPr>
          <w:rFonts w:hint="eastAsia" w:ascii="仿宋_GB2312" w:hAnsi="仿宋_GB2312" w:eastAsia="仿宋_GB2312" w:cs="仿宋_GB2312"/>
          <w:bCs/>
          <w:sz w:val="32"/>
          <w:szCs w:val="32"/>
          <w:u w:val="none" w:color="auto"/>
          <w:lang w:eastAsia="zh-CN"/>
        </w:rPr>
        <w:t>我局收到</w:t>
      </w:r>
      <w:r>
        <w:rPr>
          <w:rFonts w:hint="eastAsia" w:ascii="仿宋_GB2312" w:hAnsi="仿宋_GB2312" w:eastAsia="仿宋_GB2312" w:cs="仿宋_GB2312"/>
          <w:bCs/>
          <w:sz w:val="32"/>
          <w:szCs w:val="32"/>
          <w:u w:val="none" w:color="auto"/>
          <w:lang w:val="en-US" w:eastAsia="zh-CN"/>
        </w:rPr>
        <w:t>阿迪达斯</w:t>
      </w:r>
      <w:r>
        <w:rPr>
          <w:rFonts w:hint="eastAsia" w:ascii="仿宋_GB2312" w:hAnsi="仿宋_GB2312" w:eastAsia="仿宋_GB2312" w:cs="仿宋_GB2312"/>
          <w:bCs/>
          <w:sz w:val="32"/>
          <w:szCs w:val="32"/>
          <w:u w:val="none" w:color="auto"/>
          <w:lang w:eastAsia="zh-CN"/>
        </w:rPr>
        <w:t>体育（中国）有限公司的证明、</w:t>
      </w:r>
      <w:r>
        <w:rPr>
          <w:rFonts w:hint="eastAsia" w:ascii="仿宋_GB2312" w:hAnsi="仿宋_GB2312" w:eastAsia="仿宋_GB2312" w:cs="仿宋_GB2312"/>
          <w:bCs/>
          <w:sz w:val="32"/>
          <w:szCs w:val="32"/>
          <w:u w:val="none" w:color="auto"/>
          <w:lang w:val="en-US" w:eastAsia="zh-CN"/>
        </w:rPr>
        <w:t>阿迪达斯商标注册证及</w:t>
      </w:r>
      <w:r>
        <w:rPr>
          <w:rFonts w:hint="eastAsia" w:ascii="仿宋_GB2312" w:hAnsi="仿宋_GB2312" w:eastAsia="仿宋_GB2312" w:cs="仿宋_GB2312"/>
          <w:bCs/>
          <w:sz w:val="32"/>
          <w:szCs w:val="32"/>
          <w:u w:val="none" w:color="auto"/>
          <w:lang w:eastAsia="zh-CN"/>
        </w:rPr>
        <w:t>其他材料，证明主要内容为：“</w:t>
      </w:r>
      <w:r>
        <w:rPr>
          <w:rFonts w:hint="eastAsia" w:ascii="仿宋_GB2312" w:hAnsi="仿宋_GB2312" w:eastAsia="仿宋_GB2312" w:cs="仿宋_GB2312"/>
          <w:bCs/>
          <w:sz w:val="32"/>
          <w:szCs w:val="32"/>
          <w:u w:val="none" w:color="auto"/>
          <w:lang w:val="en-US" w:eastAsia="zh-CN"/>
        </w:rPr>
        <w:t>阿迪达斯</w:t>
      </w:r>
      <w:r>
        <w:rPr>
          <w:rFonts w:hint="eastAsia" w:ascii="仿宋_GB2312" w:hAnsi="仿宋_GB2312" w:eastAsia="仿宋_GB2312" w:cs="仿宋_GB2312"/>
          <w:bCs/>
          <w:sz w:val="32"/>
          <w:szCs w:val="32"/>
          <w:u w:val="none" w:color="auto"/>
          <w:lang w:eastAsia="zh-CN"/>
        </w:rPr>
        <w:t>公司至今为止从未授权刘国辉生产、储存、销售</w:t>
      </w:r>
      <w:r>
        <w:rPr>
          <w:rFonts w:hint="eastAsia" w:ascii="仿宋_GB2312" w:hAnsi="仿宋_GB2312" w:eastAsia="仿宋_GB2312" w:cs="仿宋_GB2312"/>
          <w:bCs/>
          <w:sz w:val="32"/>
          <w:szCs w:val="32"/>
          <w:u w:val="none" w:color="auto"/>
          <w:lang w:val="en-US" w:eastAsia="zh-CN"/>
        </w:rPr>
        <w:t>阿迪达斯产品。</w:t>
      </w:r>
      <w:r>
        <w:rPr>
          <w:rFonts w:hint="eastAsia" w:ascii="仿宋_GB2312" w:hAnsi="仿宋_GB2312" w:eastAsia="仿宋_GB2312" w:cs="仿宋_GB2312"/>
          <w:bCs/>
          <w:sz w:val="32"/>
          <w:szCs w:val="32"/>
          <w:u w:val="none" w:color="auto"/>
          <w:lang w:eastAsia="zh-CN"/>
        </w:rPr>
        <w:t>”；</w:t>
      </w:r>
      <w:r>
        <w:rPr>
          <w:rFonts w:hint="eastAsia" w:ascii="仿宋_GB2312" w:hAnsi="仿宋_GB2312" w:eastAsia="仿宋_GB2312" w:cs="仿宋_GB2312"/>
          <w:bCs/>
          <w:sz w:val="32"/>
          <w:szCs w:val="32"/>
          <w:u w:val="none" w:color="auto"/>
          <w:lang w:val="en-US" w:eastAsia="zh-CN"/>
        </w:rPr>
        <w:t>另一份鉴定证明，主要内容：所涉产品是侵犯阿迪达斯公司注册商标专用权的产品。</w:t>
      </w:r>
    </w:p>
    <w:p w14:paraId="34C50CD9">
      <w:pPr>
        <w:keepNext w:val="0"/>
        <w:keepLines w:val="0"/>
        <w:pageBreakBefore w:val="0"/>
        <w:widowControl/>
        <w:kinsoku/>
        <w:wordWrap/>
        <w:overflowPunct/>
        <w:topLinePunct w:val="0"/>
        <w:bidi w:val="0"/>
        <w:adjustRightInd/>
        <w:snapToGrid/>
        <w:spacing w:line="560" w:lineRule="exact"/>
        <w:ind w:left="105" w:leftChars="50" w:right="105" w:rightChars="50" w:firstLine="640" w:firstLineChars="200"/>
        <w:textAlignment w:val="auto"/>
        <w:rPr>
          <w:rFonts w:hint="eastAsia" w:ascii="仿宋_GB2312" w:hAnsi="仿宋_GB2312" w:eastAsia="仿宋_GB2312" w:cs="仿宋_GB2312"/>
          <w:bCs/>
          <w:sz w:val="32"/>
          <w:szCs w:val="32"/>
          <w:u w:val="none" w:color="auto"/>
          <w:lang w:val="en-US" w:eastAsia="zh-CN"/>
        </w:rPr>
      </w:pPr>
      <w:r>
        <w:rPr>
          <w:rFonts w:hint="eastAsia" w:ascii="仿宋_GB2312" w:hAnsi="仿宋_GB2312" w:eastAsia="仿宋_GB2312" w:cs="仿宋_GB2312"/>
          <w:bCs/>
          <w:sz w:val="32"/>
          <w:szCs w:val="32"/>
          <w:u w:val="none" w:color="auto"/>
          <w:lang w:val="en-US" w:eastAsia="zh-CN"/>
        </w:rPr>
        <w:t>2025年2月17日,</w:t>
      </w:r>
      <w:r>
        <w:rPr>
          <w:rFonts w:hint="eastAsia" w:ascii="仿宋_GB2312" w:hAnsi="仿宋_GB2312" w:eastAsia="仿宋_GB2312" w:cs="仿宋_GB2312"/>
          <w:bCs/>
          <w:sz w:val="32"/>
          <w:szCs w:val="32"/>
          <w:u w:val="none" w:color="auto"/>
          <w:lang w:eastAsia="zh-CN"/>
        </w:rPr>
        <w:t>我局收到耐克体育（中国）有限公的证明、</w:t>
      </w:r>
      <w:r>
        <w:rPr>
          <w:rFonts w:hint="eastAsia" w:ascii="仿宋_GB2312" w:hAnsi="仿宋_GB2312" w:eastAsia="仿宋_GB2312" w:cs="仿宋_GB2312"/>
          <w:bCs/>
          <w:sz w:val="32"/>
          <w:szCs w:val="32"/>
          <w:u w:val="none" w:color="auto"/>
          <w:lang w:val="en-US" w:eastAsia="zh-CN"/>
        </w:rPr>
        <w:t>耐克商标注册证及</w:t>
      </w:r>
      <w:r>
        <w:rPr>
          <w:rFonts w:hint="eastAsia" w:ascii="仿宋_GB2312" w:hAnsi="仿宋_GB2312" w:eastAsia="仿宋_GB2312" w:cs="仿宋_GB2312"/>
          <w:bCs/>
          <w:sz w:val="32"/>
          <w:szCs w:val="32"/>
          <w:u w:val="none" w:color="auto"/>
          <w:lang w:eastAsia="zh-CN"/>
        </w:rPr>
        <w:t>其他材料，证明主要内容为：“兹证明我公司并未授权</w:t>
      </w:r>
      <w:r>
        <w:rPr>
          <w:rFonts w:hint="eastAsia" w:ascii="仿宋_GB2312" w:hAnsi="仿宋_GB2312" w:eastAsia="仿宋_GB2312" w:cs="仿宋_GB2312"/>
          <w:sz w:val="32"/>
          <w:szCs w:val="32"/>
          <w:u w:val="none"/>
          <w:lang w:eastAsia="zh-CN"/>
        </w:rPr>
        <w:t>河南省洛阳市偃师区槐新街道城西社区</w:t>
      </w:r>
      <w:r>
        <w:rPr>
          <w:rFonts w:hint="eastAsia" w:ascii="仿宋_GB2312" w:hAnsi="仿宋_GB2312" w:eastAsia="仿宋_GB2312" w:cs="仿宋_GB2312"/>
          <w:sz w:val="32"/>
          <w:szCs w:val="32"/>
          <w:u w:val="none"/>
          <w:lang w:val="en-US" w:eastAsia="zh-CN"/>
        </w:rPr>
        <w:t>-1号</w:t>
      </w:r>
      <w:r>
        <w:rPr>
          <w:rFonts w:hint="eastAsia" w:ascii="仿宋_GB2312" w:hAnsi="仿宋_GB2312" w:eastAsia="仿宋_GB2312" w:cs="仿宋_GB2312"/>
          <w:bCs/>
          <w:sz w:val="32"/>
          <w:szCs w:val="32"/>
          <w:u w:val="none" w:color="auto"/>
          <w:lang w:eastAsia="zh-CN"/>
        </w:rPr>
        <w:t>的洛阳春晖鞋业有限公司（</w:t>
      </w:r>
      <w:r>
        <w:rPr>
          <w:rFonts w:hint="eastAsia" w:ascii="仿宋_GB2312" w:hAnsi="仿宋_GB2312" w:eastAsia="仿宋_GB2312" w:cs="仿宋_GB2312"/>
          <w:sz w:val="32"/>
          <w:szCs w:val="32"/>
          <w:u w:val="none"/>
          <w:lang w:val="en-US" w:eastAsia="zh-CN"/>
        </w:rPr>
        <w:t>法定代表</w:t>
      </w:r>
      <w:r>
        <w:rPr>
          <w:rFonts w:hint="eastAsia" w:ascii="仿宋_GB2312" w:hAnsi="仿宋_GB2312" w:eastAsia="仿宋_GB2312" w:cs="仿宋_GB2312"/>
          <w:sz w:val="32"/>
          <w:szCs w:val="32"/>
          <w:u w:val="none"/>
          <w:lang w:eastAsia="zh-CN"/>
        </w:rPr>
        <w:t>人</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eastAsia="zh-CN"/>
        </w:rPr>
        <w:t>刘国辉</w:t>
      </w:r>
      <w:r>
        <w:rPr>
          <w:rFonts w:hint="eastAsia" w:ascii="仿宋_GB2312" w:hAnsi="仿宋_GB2312" w:eastAsia="仿宋_GB2312" w:cs="仿宋_GB2312"/>
          <w:bCs/>
          <w:sz w:val="32"/>
          <w:szCs w:val="32"/>
          <w:u w:val="none" w:color="auto"/>
          <w:lang w:eastAsia="zh-CN"/>
        </w:rPr>
        <w:t>）处生产、储存、销售涉案的标有耐克创新有限合伙公司注册商标的产品。”；</w:t>
      </w:r>
      <w:r>
        <w:rPr>
          <w:rFonts w:hint="eastAsia" w:ascii="仿宋_GB2312" w:hAnsi="仿宋_GB2312" w:eastAsia="仿宋_GB2312" w:cs="仿宋_GB2312"/>
          <w:bCs/>
          <w:sz w:val="32"/>
          <w:szCs w:val="32"/>
          <w:u w:val="none" w:color="auto"/>
          <w:lang w:val="en-US" w:eastAsia="zh-CN"/>
        </w:rPr>
        <w:t>另一份鉴定证明，主要内容：贵局于2025年01月09日在</w:t>
      </w:r>
      <w:r>
        <w:rPr>
          <w:rFonts w:hint="eastAsia" w:ascii="仿宋_GB2312" w:hAnsi="仿宋_GB2312" w:eastAsia="仿宋_GB2312" w:cs="仿宋_GB2312"/>
          <w:sz w:val="32"/>
          <w:szCs w:val="32"/>
          <w:u w:val="none"/>
          <w:lang w:eastAsia="zh-CN"/>
        </w:rPr>
        <w:t>河南省洛阳市偃师区槐新街道城西社区</w:t>
      </w:r>
      <w:r>
        <w:rPr>
          <w:rFonts w:hint="eastAsia" w:ascii="仿宋_GB2312" w:hAnsi="仿宋_GB2312" w:eastAsia="仿宋_GB2312" w:cs="仿宋_GB2312"/>
          <w:sz w:val="32"/>
          <w:szCs w:val="32"/>
          <w:u w:val="none"/>
          <w:lang w:val="en-US" w:eastAsia="zh-CN"/>
        </w:rPr>
        <w:t>-1号</w:t>
      </w:r>
      <w:r>
        <w:rPr>
          <w:rFonts w:hint="eastAsia" w:ascii="仿宋_GB2312" w:hAnsi="仿宋_GB2312" w:eastAsia="仿宋_GB2312" w:cs="仿宋_GB2312"/>
          <w:bCs/>
          <w:sz w:val="32"/>
          <w:szCs w:val="32"/>
          <w:u w:val="none" w:color="auto"/>
          <w:lang w:eastAsia="zh-CN"/>
        </w:rPr>
        <w:t>的洛阳春晖鞋业有限公司（</w:t>
      </w:r>
      <w:r>
        <w:rPr>
          <w:rFonts w:hint="eastAsia" w:ascii="仿宋_GB2312" w:hAnsi="仿宋_GB2312" w:eastAsia="仿宋_GB2312" w:cs="仿宋_GB2312"/>
          <w:sz w:val="32"/>
          <w:szCs w:val="32"/>
          <w:u w:val="none"/>
          <w:lang w:val="en-US" w:eastAsia="zh-CN"/>
        </w:rPr>
        <w:t>法定代表</w:t>
      </w:r>
      <w:r>
        <w:rPr>
          <w:rFonts w:hint="eastAsia" w:ascii="仿宋_GB2312" w:hAnsi="仿宋_GB2312" w:eastAsia="仿宋_GB2312" w:cs="仿宋_GB2312"/>
          <w:sz w:val="32"/>
          <w:szCs w:val="32"/>
          <w:u w:val="none"/>
          <w:lang w:eastAsia="zh-CN"/>
        </w:rPr>
        <w:t>人</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eastAsia="zh-CN"/>
        </w:rPr>
        <w:t>刘国辉</w:t>
      </w:r>
      <w:r>
        <w:rPr>
          <w:rFonts w:hint="eastAsia" w:ascii="仿宋_GB2312" w:hAnsi="仿宋_GB2312" w:eastAsia="仿宋_GB2312" w:cs="仿宋_GB2312"/>
          <w:bCs/>
          <w:sz w:val="32"/>
          <w:szCs w:val="32"/>
          <w:u w:val="none" w:color="auto"/>
          <w:lang w:eastAsia="zh-CN"/>
        </w:rPr>
        <w:t>）</w:t>
      </w:r>
      <w:r>
        <w:rPr>
          <w:rFonts w:hint="eastAsia" w:ascii="仿宋_GB2312" w:hAnsi="仿宋_GB2312" w:eastAsia="仿宋_GB2312" w:cs="仿宋_GB2312"/>
          <w:bCs/>
          <w:sz w:val="32"/>
          <w:szCs w:val="32"/>
          <w:u w:val="none" w:color="auto"/>
          <w:lang w:val="en-US" w:eastAsia="zh-CN"/>
        </w:rPr>
        <w:t>处查获的标有耐克创新有限合伙公司注册商标的10双运动鞋、8双凉鞋。鉴定结果：经我公司抽样鉴定，系假冒耐克创新有限合伙公司注册商标的产品。</w:t>
      </w:r>
    </w:p>
    <w:p w14:paraId="77D1E201">
      <w:pPr>
        <w:keepNext w:val="0"/>
        <w:keepLines w:val="0"/>
        <w:pageBreakBefore w:val="0"/>
        <w:widowControl/>
        <w:kinsoku/>
        <w:wordWrap/>
        <w:overflowPunct/>
        <w:topLinePunct w:val="0"/>
        <w:bidi w:val="0"/>
        <w:adjustRightInd/>
        <w:snapToGrid/>
        <w:spacing w:line="560" w:lineRule="exact"/>
        <w:ind w:left="105" w:leftChars="50" w:right="105" w:rightChars="50" w:firstLine="640" w:firstLineChars="200"/>
        <w:textAlignment w:val="auto"/>
        <w:rPr>
          <w:rFonts w:hint="eastAsia" w:ascii="仿宋_GB2312" w:hAnsi="仿宋_GB2312" w:eastAsia="仿宋_GB2312" w:cs="仿宋_GB2312"/>
          <w:bCs/>
          <w:sz w:val="32"/>
          <w:szCs w:val="32"/>
          <w:u w:val="none" w:color="auto"/>
          <w:lang w:val="en-US" w:eastAsia="zh-CN"/>
        </w:rPr>
      </w:pPr>
      <w:r>
        <w:rPr>
          <w:rFonts w:hint="eastAsia" w:ascii="仿宋_GB2312" w:hAnsi="仿宋_GB2312" w:eastAsia="仿宋_GB2312" w:cs="仿宋_GB2312"/>
          <w:bCs/>
          <w:sz w:val="32"/>
          <w:szCs w:val="32"/>
          <w:u w:val="none" w:color="auto"/>
        </w:rPr>
        <w:t>202</w:t>
      </w:r>
      <w:r>
        <w:rPr>
          <w:rFonts w:hint="eastAsia" w:ascii="仿宋_GB2312" w:hAnsi="仿宋_GB2312" w:eastAsia="仿宋_GB2312" w:cs="仿宋_GB2312"/>
          <w:bCs/>
          <w:sz w:val="32"/>
          <w:szCs w:val="32"/>
          <w:u w:val="none" w:color="auto"/>
          <w:lang w:eastAsia="zh-CN"/>
        </w:rPr>
        <w:t>4</w:t>
      </w:r>
      <w:r>
        <w:rPr>
          <w:rFonts w:hint="eastAsia" w:ascii="仿宋_GB2312" w:hAnsi="仿宋_GB2312" w:eastAsia="仿宋_GB2312" w:cs="仿宋_GB2312"/>
          <w:bCs/>
          <w:sz w:val="32"/>
          <w:szCs w:val="32"/>
          <w:u w:val="none" w:color="auto"/>
        </w:rPr>
        <w:t>年</w:t>
      </w:r>
      <w:r>
        <w:rPr>
          <w:rFonts w:hint="eastAsia" w:ascii="仿宋_GB2312" w:hAnsi="仿宋_GB2312" w:eastAsia="仿宋_GB2312" w:cs="仿宋_GB2312"/>
          <w:bCs/>
          <w:sz w:val="32"/>
          <w:szCs w:val="32"/>
          <w:u w:val="none" w:color="auto"/>
          <w:lang w:eastAsia="zh-CN"/>
        </w:rPr>
        <w:t>1</w:t>
      </w:r>
      <w:r>
        <w:rPr>
          <w:rFonts w:hint="eastAsia" w:ascii="仿宋_GB2312" w:hAnsi="仿宋_GB2312" w:eastAsia="仿宋_GB2312" w:cs="仿宋_GB2312"/>
          <w:bCs/>
          <w:sz w:val="32"/>
          <w:szCs w:val="32"/>
          <w:u w:val="none" w:color="auto"/>
          <w:lang w:val="en-US" w:eastAsia="zh-CN"/>
        </w:rPr>
        <w:t>2</w:t>
      </w:r>
      <w:r>
        <w:rPr>
          <w:rFonts w:hint="eastAsia" w:ascii="仿宋_GB2312" w:hAnsi="仿宋_GB2312" w:eastAsia="仿宋_GB2312" w:cs="仿宋_GB2312"/>
          <w:bCs/>
          <w:sz w:val="32"/>
          <w:szCs w:val="32"/>
          <w:u w:val="none" w:color="auto"/>
        </w:rPr>
        <w:t>月</w:t>
      </w:r>
      <w:r>
        <w:rPr>
          <w:rFonts w:hint="eastAsia" w:ascii="仿宋_GB2312" w:hAnsi="仿宋_GB2312" w:eastAsia="仿宋_GB2312" w:cs="仿宋_GB2312"/>
          <w:bCs/>
          <w:sz w:val="32"/>
          <w:szCs w:val="32"/>
          <w:u w:val="none" w:color="auto"/>
          <w:lang w:eastAsia="zh-CN"/>
        </w:rPr>
        <w:t>初，有一不知名客户拿着标</w:t>
      </w:r>
      <w:r>
        <w:rPr>
          <w:rFonts w:hint="eastAsia" w:ascii="仿宋_GB2312" w:hAnsi="仿宋_GB2312" w:eastAsia="仿宋_GB2312" w:cs="仿宋_GB2312"/>
          <w:bCs/>
          <w:sz w:val="32"/>
          <w:szCs w:val="32"/>
          <w:u w:val="none" w:color="auto"/>
        </w:rPr>
        <w:t>有</w:t>
      </w:r>
      <w:r>
        <w:rPr>
          <w:rFonts w:hint="eastAsia" w:ascii="仿宋_GB2312" w:hAnsi="仿宋_GB2312" w:eastAsia="仿宋_GB2312" w:cs="仿宋_GB2312"/>
          <w:bCs/>
          <w:sz w:val="32"/>
          <w:szCs w:val="32"/>
          <w:u w:val="none" w:color="auto"/>
          <w:lang w:val="en-US" w:eastAsia="zh-CN"/>
        </w:rPr>
        <w:t>耐克</w:t>
      </w:r>
      <w:r>
        <w:rPr>
          <w:rFonts w:hint="eastAsia" w:ascii="仿宋_GB2312" w:hAnsi="仿宋_GB2312" w:eastAsia="仿宋_GB2312" w:cs="仿宋_GB2312"/>
          <w:bCs/>
          <w:sz w:val="32"/>
          <w:szCs w:val="32"/>
          <w:u w:val="none" w:color="auto"/>
          <w:lang w:eastAsia="zh-CN"/>
        </w:rPr>
        <w:t>商标</w:t>
      </w:r>
      <w:r>
        <w:rPr>
          <w:rFonts w:hint="eastAsia" w:ascii="仿宋_GB2312" w:hAnsi="仿宋_GB2312" w:eastAsia="仿宋_GB2312" w:cs="仿宋_GB2312"/>
          <w:bCs/>
          <w:sz w:val="32"/>
          <w:szCs w:val="32"/>
          <w:u w:val="none" w:color="auto"/>
          <w:lang w:val="en-US" w:eastAsia="zh-CN"/>
        </w:rPr>
        <w:t>标识和阿迪</w:t>
      </w:r>
      <w:r>
        <w:rPr>
          <w:rFonts w:hint="eastAsia" w:ascii="仿宋_GB2312" w:hAnsi="仿宋_GB2312" w:eastAsia="仿宋_GB2312" w:cs="仿宋_GB2312"/>
          <w:bCs/>
          <w:sz w:val="32"/>
          <w:szCs w:val="32"/>
          <w:u w:val="none" w:color="auto"/>
          <w:lang w:eastAsia="zh-CN"/>
        </w:rPr>
        <w:t>商标</w:t>
      </w:r>
      <w:r>
        <w:rPr>
          <w:rFonts w:hint="eastAsia" w:ascii="仿宋_GB2312" w:hAnsi="仿宋_GB2312" w:eastAsia="仿宋_GB2312" w:cs="仿宋_GB2312"/>
          <w:bCs/>
          <w:sz w:val="32"/>
          <w:szCs w:val="32"/>
          <w:u w:val="none" w:color="auto"/>
          <w:lang w:val="en-US" w:eastAsia="zh-CN"/>
        </w:rPr>
        <w:t>标识的样品，找</w:t>
      </w:r>
      <w:r>
        <w:rPr>
          <w:rFonts w:hint="eastAsia" w:ascii="仿宋_GB2312" w:hAnsi="仿宋_GB2312" w:eastAsia="仿宋_GB2312" w:cs="仿宋_GB2312"/>
          <w:bCs/>
          <w:sz w:val="32"/>
          <w:szCs w:val="32"/>
          <w:u w:val="none" w:color="auto"/>
          <w:lang w:eastAsia="zh-CN"/>
        </w:rPr>
        <w:t>当事人订制</w:t>
      </w:r>
      <w:r>
        <w:rPr>
          <w:rFonts w:hint="eastAsia" w:ascii="仿宋_GB2312" w:hAnsi="仿宋_GB2312" w:eastAsia="仿宋_GB2312" w:cs="仿宋_GB2312"/>
          <w:bCs/>
          <w:sz w:val="32"/>
          <w:szCs w:val="32"/>
          <w:u w:val="none" w:color="auto"/>
          <w:lang w:val="en-US" w:eastAsia="zh-CN"/>
        </w:rPr>
        <w:t>耐克标识的布鞋900双、耐克标识的凉鞋900双、阿迪标识的布鞋500双、阿迪标识的凉鞋900双，交定金5000元。当事人生意不好，在该客户没有耐克和阿迪授权的情况下，未经耐克及阿迪注册商标权利人授权的情况下，开始生产加工有耐克和阿迪注册商标的布鞋及凉鞋。由于担心客户验收时出现次品，实际生产加工有耐克标识的布鞋910双，每双加工费11元，计10010元；生产加工有耐克标识的凉鞋908双，每双加工费10元，计9080元；生产加工有阿迪标识的布鞋500双，每双加工费11元，计5500元；生产加工有阿迪标识的凉鞋907双，每双加工费10元，计9070元；标有耐克标识的布鞋鞋帮多加工了20双，每双2.5元，计50元；标有阿迪标识的布鞋鞋帮多加工了25双，每双2.5元，计62.5元。鞋子生产加工好后，客户按订购的数量把鞋拉走。</w:t>
      </w:r>
    </w:p>
    <w:p w14:paraId="7F8DBB3A">
      <w:pPr>
        <w:keepNext w:val="0"/>
        <w:keepLines w:val="0"/>
        <w:pageBreakBefore w:val="0"/>
        <w:widowControl/>
        <w:kinsoku/>
        <w:wordWrap/>
        <w:overflowPunct/>
        <w:topLinePunct w:val="0"/>
        <w:bidi w:val="0"/>
        <w:adjustRightInd/>
        <w:snapToGrid/>
        <w:spacing w:line="560" w:lineRule="exact"/>
        <w:ind w:left="105" w:leftChars="50" w:right="105" w:rightChars="50" w:firstLine="640" w:firstLineChars="200"/>
        <w:textAlignment w:val="auto"/>
        <w:rPr>
          <w:rFonts w:hint="eastAsia" w:ascii="仿宋_GB2312" w:hAnsi="仿宋_GB2312" w:eastAsia="仿宋_GB2312" w:cs="仿宋_GB2312"/>
          <w:bCs/>
          <w:sz w:val="32"/>
          <w:szCs w:val="32"/>
          <w:u w:val="none" w:color="auto"/>
          <w:lang w:val="en-US" w:eastAsia="zh-CN"/>
        </w:rPr>
      </w:pPr>
      <w:r>
        <w:rPr>
          <w:rFonts w:hint="eastAsia" w:ascii="仿宋_GB2312" w:hAnsi="仿宋_GB2312" w:eastAsia="仿宋_GB2312" w:cs="仿宋_GB2312"/>
          <w:bCs/>
          <w:sz w:val="32"/>
          <w:szCs w:val="32"/>
          <w:u w:val="none" w:color="auto"/>
          <w:lang w:eastAsia="zh-CN"/>
        </w:rPr>
        <w:t>当事人</w:t>
      </w:r>
      <w:r>
        <w:rPr>
          <w:rFonts w:hint="eastAsia" w:ascii="仿宋_GB2312" w:hAnsi="仿宋_GB2312" w:eastAsia="仿宋_GB2312" w:cs="仿宋_GB2312"/>
          <w:bCs/>
          <w:sz w:val="32"/>
          <w:szCs w:val="32"/>
          <w:u w:val="none" w:color="auto"/>
          <w:lang w:val="en-US" w:eastAsia="zh-CN"/>
        </w:rPr>
        <w:t>加工有耐克和阿迪商标标识的鞋共计3225双，另有耐克和阿迪商标标识的鞋帮共计45双，违法经营额33772.5元。</w:t>
      </w:r>
    </w:p>
    <w:p w14:paraId="139EE60B">
      <w:pPr>
        <w:keepNext w:val="0"/>
        <w:keepLines w:val="0"/>
        <w:pageBreakBefore w:val="0"/>
        <w:widowControl/>
        <w:kinsoku/>
        <w:wordWrap/>
        <w:overflowPunct/>
        <w:topLinePunct w:val="0"/>
        <w:bidi w:val="0"/>
        <w:adjustRightInd/>
        <w:snapToGrid/>
        <w:spacing w:line="560" w:lineRule="exact"/>
        <w:ind w:left="105" w:leftChars="50" w:right="105" w:rightChars="50" w:firstLine="640" w:firstLineChars="200"/>
        <w:textAlignment w:val="auto"/>
        <w:rPr>
          <w:rFonts w:hint="eastAsia" w:ascii="仿宋_GB2312" w:hAnsi="仿宋_GB2312" w:eastAsia="仿宋_GB2312" w:cs="仿宋_GB2312"/>
          <w:bCs/>
          <w:sz w:val="32"/>
          <w:szCs w:val="32"/>
          <w:u w:val="none" w:color="auto"/>
        </w:rPr>
      </w:pPr>
      <w:r>
        <w:rPr>
          <w:rFonts w:hint="eastAsia" w:ascii="仿宋_GB2312" w:hAnsi="仿宋_GB2312" w:eastAsia="仿宋_GB2312" w:cs="仿宋_GB2312"/>
          <w:bCs/>
          <w:sz w:val="32"/>
          <w:szCs w:val="32"/>
          <w:u w:val="none" w:color="auto"/>
        </w:rPr>
        <w:t>上述事实，主要有以下证据证明：</w:t>
      </w:r>
    </w:p>
    <w:p w14:paraId="7AA5C83F">
      <w:pPr>
        <w:keepNext w:val="0"/>
        <w:keepLines w:val="0"/>
        <w:pageBreakBefore w:val="0"/>
        <w:widowControl/>
        <w:kinsoku/>
        <w:wordWrap/>
        <w:overflowPunct/>
        <w:topLinePunct w:val="0"/>
        <w:bidi w:val="0"/>
        <w:adjustRightInd/>
        <w:snapToGrid/>
        <w:spacing w:line="560" w:lineRule="exact"/>
        <w:ind w:left="105" w:leftChars="50" w:right="105" w:rightChars="50" w:firstLine="640" w:firstLineChars="200"/>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eastAsia="zh-CN"/>
        </w:rPr>
        <w:t xml:space="preserve">1.营业执照及经营者身份证复印件，证明当事人主体经营资格及经营者身份；                                                </w:t>
      </w:r>
    </w:p>
    <w:p w14:paraId="10186F66">
      <w:pPr>
        <w:keepNext w:val="0"/>
        <w:keepLines w:val="0"/>
        <w:pageBreakBefore w:val="0"/>
        <w:widowControl/>
        <w:kinsoku/>
        <w:wordWrap/>
        <w:overflowPunct/>
        <w:topLinePunct w:val="0"/>
        <w:bidi w:val="0"/>
        <w:adjustRightInd/>
        <w:snapToGrid/>
        <w:spacing w:line="560" w:lineRule="exact"/>
        <w:ind w:left="105" w:leftChars="50" w:right="105" w:rightChars="50" w:firstLine="640" w:firstLineChars="200"/>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eastAsia="zh-CN"/>
        </w:rPr>
        <w:t>2.现场笔录，证明我局执法人员现场检查的情况；</w:t>
      </w:r>
    </w:p>
    <w:p w14:paraId="5A3147F2">
      <w:pPr>
        <w:keepNext w:val="0"/>
        <w:keepLines w:val="0"/>
        <w:pageBreakBefore w:val="0"/>
        <w:widowControl/>
        <w:kinsoku/>
        <w:wordWrap/>
        <w:overflowPunct/>
        <w:topLinePunct w:val="0"/>
        <w:bidi w:val="0"/>
        <w:adjustRightInd/>
        <w:snapToGrid/>
        <w:spacing w:line="560" w:lineRule="exact"/>
        <w:ind w:left="105" w:leftChars="50" w:right="105" w:rightChars="50" w:firstLine="640" w:firstLineChars="200"/>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eastAsia="zh-CN"/>
        </w:rPr>
        <w:t>3.询问笔录，证明当事人侵犯他人注册商标专用权</w:t>
      </w:r>
      <w:r>
        <w:rPr>
          <w:rFonts w:hint="eastAsia" w:ascii="仿宋_GB2312" w:hAnsi="仿宋_GB2312" w:eastAsia="仿宋_GB2312" w:cs="仿宋_GB2312"/>
          <w:bCs/>
          <w:sz w:val="32"/>
          <w:szCs w:val="32"/>
          <w:u w:val="none" w:color="auto"/>
        </w:rPr>
        <w:t>的</w:t>
      </w:r>
      <w:r>
        <w:rPr>
          <w:rFonts w:hint="eastAsia" w:ascii="仿宋_GB2312" w:hAnsi="仿宋_GB2312" w:eastAsia="仿宋_GB2312" w:cs="仿宋_GB2312"/>
          <w:bCs/>
          <w:sz w:val="32"/>
          <w:szCs w:val="32"/>
          <w:u w:val="none" w:color="auto"/>
          <w:lang w:val="en-US" w:eastAsia="zh-CN"/>
        </w:rPr>
        <w:t>事实</w:t>
      </w:r>
      <w:r>
        <w:rPr>
          <w:rFonts w:hint="eastAsia" w:ascii="仿宋_GB2312" w:hAnsi="仿宋_GB2312" w:eastAsia="仿宋_GB2312" w:cs="仿宋_GB2312"/>
          <w:bCs/>
          <w:sz w:val="32"/>
          <w:szCs w:val="32"/>
          <w:u w:val="none" w:color="auto"/>
          <w:lang w:eastAsia="zh-CN"/>
        </w:rPr>
        <w:t xml:space="preserve">；    </w:t>
      </w:r>
    </w:p>
    <w:p w14:paraId="24E1B4DB">
      <w:pPr>
        <w:keepNext w:val="0"/>
        <w:keepLines w:val="0"/>
        <w:pageBreakBefore w:val="0"/>
        <w:widowControl/>
        <w:kinsoku/>
        <w:wordWrap/>
        <w:overflowPunct/>
        <w:topLinePunct w:val="0"/>
        <w:bidi w:val="0"/>
        <w:adjustRightInd/>
        <w:snapToGrid/>
        <w:spacing w:line="560" w:lineRule="exact"/>
        <w:ind w:left="105" w:leftChars="50" w:right="105" w:rightChars="50" w:firstLine="640" w:firstLineChars="200"/>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eastAsia="zh-CN"/>
        </w:rPr>
        <w:t xml:space="preserve">4.实施行政强制措施决定书及财物清单，证明涉嫌侵权商品的被扣押情况； </w:t>
      </w:r>
    </w:p>
    <w:p w14:paraId="42DE1101">
      <w:pPr>
        <w:keepNext w:val="0"/>
        <w:keepLines w:val="0"/>
        <w:pageBreakBefore w:val="0"/>
        <w:widowControl/>
        <w:kinsoku/>
        <w:wordWrap/>
        <w:overflowPunct/>
        <w:topLinePunct w:val="0"/>
        <w:bidi w:val="0"/>
        <w:adjustRightInd/>
        <w:snapToGrid/>
        <w:spacing w:line="560" w:lineRule="exact"/>
        <w:ind w:left="105" w:leftChars="50" w:right="105" w:rightChars="50" w:firstLine="640" w:firstLineChars="200"/>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eastAsia="zh-CN"/>
        </w:rPr>
        <w:t>5.涉案侵权产品图片，证明侵权产品的情况；</w:t>
      </w:r>
    </w:p>
    <w:p w14:paraId="4B4C8C35">
      <w:pPr>
        <w:keepNext w:val="0"/>
        <w:keepLines w:val="0"/>
        <w:pageBreakBefore w:val="0"/>
        <w:widowControl/>
        <w:kinsoku/>
        <w:wordWrap/>
        <w:overflowPunct/>
        <w:topLinePunct w:val="0"/>
        <w:bidi w:val="0"/>
        <w:adjustRightInd/>
        <w:snapToGrid/>
        <w:spacing w:line="560" w:lineRule="exact"/>
        <w:ind w:left="105" w:leftChars="50" w:right="105" w:rightChars="50" w:firstLine="640" w:firstLineChars="200"/>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lang w:eastAsia="zh-CN"/>
        </w:rPr>
        <w:t>6.</w:t>
      </w:r>
      <w:r>
        <w:rPr>
          <w:rFonts w:hint="eastAsia" w:ascii="仿宋_GB2312" w:hAnsi="仿宋_GB2312" w:eastAsia="仿宋_GB2312" w:cs="仿宋_GB2312"/>
          <w:bCs/>
          <w:sz w:val="32"/>
          <w:szCs w:val="32"/>
          <w:u w:val="none" w:color="auto"/>
          <w:lang w:val="en-US" w:eastAsia="zh-CN"/>
        </w:rPr>
        <w:t>鉴定</w:t>
      </w:r>
      <w:r>
        <w:rPr>
          <w:rFonts w:hint="eastAsia" w:ascii="仿宋_GB2312" w:hAnsi="仿宋_GB2312" w:eastAsia="仿宋_GB2312" w:cs="仿宋_GB2312"/>
          <w:bCs/>
          <w:sz w:val="32"/>
          <w:szCs w:val="32"/>
          <w:u w:val="none" w:color="auto"/>
          <w:lang w:eastAsia="zh-CN"/>
        </w:rPr>
        <w:t>证明，证明</w:t>
      </w:r>
      <w:r>
        <w:rPr>
          <w:rFonts w:hint="eastAsia" w:ascii="仿宋_GB2312" w:hAnsi="仿宋_GB2312" w:eastAsia="仿宋_GB2312" w:cs="仿宋_GB2312"/>
          <w:bCs/>
          <w:sz w:val="32"/>
          <w:szCs w:val="32"/>
          <w:u w:val="none" w:color="auto"/>
          <w:lang w:val="en-US" w:eastAsia="zh-CN"/>
        </w:rPr>
        <w:t>当事人侵权情况</w:t>
      </w:r>
      <w:r>
        <w:rPr>
          <w:rFonts w:hint="eastAsia" w:ascii="仿宋_GB2312" w:hAnsi="仿宋_GB2312" w:eastAsia="仿宋_GB2312" w:cs="仿宋_GB2312"/>
          <w:bCs/>
          <w:sz w:val="32"/>
          <w:szCs w:val="32"/>
          <w:u w:val="none" w:color="auto"/>
          <w:lang w:eastAsia="zh-CN"/>
        </w:rPr>
        <w:t xml:space="preserve">； </w:t>
      </w:r>
    </w:p>
    <w:p w14:paraId="45BB0EE8">
      <w:pPr>
        <w:keepNext w:val="0"/>
        <w:keepLines w:val="0"/>
        <w:pageBreakBefore w:val="0"/>
        <w:widowControl/>
        <w:kinsoku/>
        <w:wordWrap/>
        <w:overflowPunct/>
        <w:topLinePunct w:val="0"/>
        <w:bidi w:val="0"/>
        <w:adjustRightInd/>
        <w:snapToGrid/>
        <w:spacing w:line="560" w:lineRule="exact"/>
        <w:ind w:left="105" w:leftChars="50" w:right="105" w:rightChars="50" w:firstLine="640" w:firstLineChars="200"/>
        <w:textAlignment w:val="auto"/>
        <w:rPr>
          <w:rFonts w:hint="eastAsia" w:ascii="仿宋_GB2312" w:hAnsi="仿宋_GB2312" w:eastAsia="仿宋_GB2312" w:cs="仿宋_GB2312"/>
          <w:bCs/>
          <w:sz w:val="32"/>
          <w:szCs w:val="32"/>
          <w:u w:val="none" w:color="auto"/>
          <w:lang w:val="en-US" w:eastAsia="zh-CN"/>
        </w:rPr>
      </w:pPr>
      <w:r>
        <w:rPr>
          <w:rFonts w:hint="eastAsia" w:ascii="仿宋_GB2312" w:hAnsi="仿宋_GB2312" w:eastAsia="仿宋_GB2312" w:cs="仿宋_GB2312"/>
          <w:bCs/>
          <w:sz w:val="32"/>
          <w:szCs w:val="32"/>
          <w:u w:val="none" w:color="auto"/>
          <w:lang w:val="en-US" w:eastAsia="zh-CN"/>
        </w:rPr>
        <w:t>7.耐克商标注册证及授权委托书，证明耐克商标注册情况和被授权人情况；</w:t>
      </w:r>
    </w:p>
    <w:p w14:paraId="723E3AEC">
      <w:pPr>
        <w:keepNext w:val="0"/>
        <w:keepLines w:val="0"/>
        <w:pageBreakBefore w:val="0"/>
        <w:widowControl/>
        <w:kinsoku/>
        <w:wordWrap/>
        <w:overflowPunct/>
        <w:topLinePunct w:val="0"/>
        <w:bidi w:val="0"/>
        <w:adjustRightInd/>
        <w:snapToGrid/>
        <w:spacing w:line="560" w:lineRule="exact"/>
        <w:ind w:left="105" w:leftChars="50" w:right="105" w:rightChars="50" w:firstLine="640" w:firstLineChars="200"/>
        <w:textAlignment w:val="auto"/>
        <w:rPr>
          <w:rFonts w:hint="eastAsia" w:ascii="仿宋_GB2312" w:hAnsi="仿宋_GB2312" w:eastAsia="仿宋_GB2312" w:cs="仿宋_GB2312"/>
          <w:bCs/>
          <w:sz w:val="32"/>
          <w:szCs w:val="32"/>
          <w:u w:val="none" w:color="auto"/>
          <w:lang w:val="en-US" w:eastAsia="zh-CN"/>
        </w:rPr>
      </w:pPr>
      <w:r>
        <w:rPr>
          <w:rFonts w:hint="eastAsia" w:ascii="仿宋_GB2312" w:hAnsi="仿宋_GB2312" w:eastAsia="仿宋_GB2312" w:cs="仿宋_GB2312"/>
          <w:bCs/>
          <w:sz w:val="32"/>
          <w:szCs w:val="32"/>
          <w:u w:val="none" w:color="auto"/>
          <w:lang w:val="en-US" w:eastAsia="zh-CN"/>
        </w:rPr>
        <w:t xml:space="preserve">8.阿迪商标注册证及授权委托书，证明阿迪商标注册情况和被授权人情况。               </w:t>
      </w:r>
    </w:p>
    <w:p w14:paraId="77636844">
      <w:pPr>
        <w:keepNext w:val="0"/>
        <w:keepLines w:val="0"/>
        <w:pageBreakBefore w:val="0"/>
        <w:widowControl/>
        <w:kinsoku/>
        <w:wordWrap/>
        <w:overflowPunct/>
        <w:topLinePunct w:val="0"/>
        <w:bidi w:val="0"/>
        <w:adjustRightInd/>
        <w:snapToGrid/>
        <w:spacing w:line="560" w:lineRule="exact"/>
        <w:ind w:left="105" w:leftChars="50" w:right="105" w:rightChars="50" w:firstLine="640" w:firstLineChars="200"/>
        <w:textAlignment w:val="auto"/>
        <w:rPr>
          <w:rFonts w:hint="eastAsia" w:ascii="仿宋_GB2312" w:hAnsi="仿宋_GB2312" w:eastAsia="仿宋_GB2312" w:cs="仿宋_GB2312"/>
          <w:bCs/>
          <w:sz w:val="32"/>
          <w:szCs w:val="32"/>
          <w:u w:val="none" w:color="auto"/>
          <w:lang w:eastAsia="zh-CN"/>
        </w:rPr>
      </w:pPr>
      <w:r>
        <w:rPr>
          <w:rFonts w:hint="eastAsia" w:ascii="仿宋_GB2312" w:hAnsi="仿宋_GB2312" w:eastAsia="仿宋_GB2312" w:cs="仿宋_GB2312"/>
          <w:bCs/>
          <w:sz w:val="32"/>
          <w:szCs w:val="32"/>
          <w:u w:val="none" w:color="auto"/>
        </w:rPr>
        <w:t>当事人的行为违反了《中华人民共和国商标法》第五十七条</w:t>
      </w:r>
      <w:r>
        <w:rPr>
          <w:rFonts w:hint="eastAsia" w:ascii="仿宋_GB2312" w:hAnsi="仿宋_GB2312" w:eastAsia="仿宋_GB2312" w:cs="仿宋_GB2312"/>
          <w:bCs/>
          <w:sz w:val="32"/>
          <w:szCs w:val="32"/>
          <w:u w:val="none" w:color="auto"/>
          <w:lang w:eastAsia="zh-CN"/>
        </w:rPr>
        <w:t>：</w:t>
      </w:r>
      <w:r>
        <w:rPr>
          <w:rFonts w:hint="eastAsia" w:ascii="仿宋_GB2312" w:hAnsi="仿宋_GB2312" w:eastAsia="仿宋_GB2312" w:cs="仿宋_GB2312"/>
          <w:bCs/>
          <w:sz w:val="32"/>
          <w:szCs w:val="32"/>
          <w:u w:val="none" w:color="auto"/>
        </w:rPr>
        <w:t>“有下列行为之一的，均属侵犯注册商标专用权：（一）未经商标注册人的许可，在同一种商品上使用与其注册商标相同的商标的；</w:t>
      </w:r>
      <w:r>
        <w:rPr>
          <w:rFonts w:hint="eastAsia" w:ascii="仿宋_GB2312" w:hAnsi="仿宋_GB2312" w:eastAsia="仿宋_GB2312" w:cs="仿宋_GB2312"/>
          <w:bCs/>
          <w:sz w:val="32"/>
          <w:szCs w:val="32"/>
          <w:u w:val="none" w:color="auto"/>
          <w:lang w:val="zh-CN" w:eastAsia="zh-CN"/>
        </w:rPr>
        <w:t>（六）故意为侵犯他人商标专用权行为提供便利条件，帮助他人实施侵犯商标专用权行为的</w:t>
      </w:r>
      <w:r>
        <w:rPr>
          <w:rFonts w:hint="eastAsia" w:ascii="仿宋_GB2312" w:hAnsi="仿宋_GB2312" w:eastAsia="仿宋_GB2312" w:cs="仿宋_GB2312"/>
          <w:bCs/>
          <w:sz w:val="32"/>
          <w:szCs w:val="32"/>
          <w:u w:val="none" w:color="auto"/>
          <w:lang w:val="zh-CN"/>
        </w:rPr>
        <w:t>；</w:t>
      </w:r>
      <w:r>
        <w:rPr>
          <w:rFonts w:hint="eastAsia" w:ascii="仿宋_GB2312" w:hAnsi="仿宋_GB2312" w:eastAsia="仿宋_GB2312" w:cs="仿宋_GB2312"/>
          <w:bCs/>
          <w:sz w:val="32"/>
          <w:szCs w:val="32"/>
          <w:u w:val="none" w:color="auto"/>
        </w:rPr>
        <w:t>”之规定，其行为属于</w:t>
      </w:r>
      <w:r>
        <w:rPr>
          <w:rFonts w:hint="eastAsia" w:ascii="仿宋_GB2312" w:hAnsi="仿宋_GB2312" w:eastAsia="仿宋_GB2312" w:cs="仿宋_GB2312"/>
          <w:bCs/>
          <w:sz w:val="32"/>
          <w:szCs w:val="32"/>
          <w:u w:val="none" w:color="auto"/>
          <w:lang w:eastAsia="zh-CN"/>
        </w:rPr>
        <w:t>侵犯注册商标专用权</w:t>
      </w:r>
      <w:r>
        <w:rPr>
          <w:rFonts w:hint="eastAsia" w:ascii="仿宋_GB2312" w:hAnsi="仿宋_GB2312" w:eastAsia="仿宋_GB2312" w:cs="仿宋_GB2312"/>
          <w:bCs/>
          <w:sz w:val="32"/>
          <w:szCs w:val="32"/>
          <w:u w:val="none" w:color="auto"/>
        </w:rPr>
        <w:t>。</w:t>
      </w:r>
    </w:p>
    <w:p w14:paraId="2CF8B87F">
      <w:pPr>
        <w:keepNext w:val="0"/>
        <w:keepLines w:val="0"/>
        <w:pageBreakBefore w:val="0"/>
        <w:widowControl/>
        <w:kinsoku/>
        <w:wordWrap/>
        <w:overflowPunct/>
        <w:topLinePunct w:val="0"/>
        <w:bidi w:val="0"/>
        <w:adjustRightInd/>
        <w:snapToGrid/>
        <w:spacing w:line="560" w:lineRule="exact"/>
        <w:ind w:left="105" w:leftChars="50" w:right="105" w:rightChars="50" w:firstLine="640" w:firstLineChars="200"/>
        <w:textAlignment w:val="auto"/>
        <w:rPr>
          <w:rFonts w:hint="eastAsia" w:ascii="仿宋_GB2312" w:hAnsi="仿宋_GB2312" w:eastAsia="仿宋_GB2312" w:cs="仿宋_GB2312"/>
          <w:bCs/>
          <w:sz w:val="32"/>
          <w:szCs w:val="32"/>
          <w:u w:val="none" w:color="auto"/>
        </w:rPr>
      </w:pPr>
      <w:r>
        <w:rPr>
          <w:rFonts w:hint="eastAsia" w:ascii="仿宋_GB2312" w:hAnsi="仿宋_GB2312" w:eastAsia="仿宋_GB2312" w:cs="仿宋_GB2312"/>
          <w:bCs/>
          <w:sz w:val="32"/>
          <w:szCs w:val="32"/>
          <w:u w:val="none" w:color="auto"/>
        </w:rPr>
        <w:t>依据《河南省市场监督管理行政处罚裁量权适用通则》第十八条第一款“当事人不具备不予行政处罚、减轻、从轻或者从重行政处罚情形的，应当给予一般行政处罚”。根据当事人违法的事实、情节、及社会危害性，应给予一般行政处罚。</w:t>
      </w:r>
    </w:p>
    <w:p w14:paraId="75D464A4">
      <w:pPr>
        <w:keepNext w:val="0"/>
        <w:keepLines w:val="0"/>
        <w:pageBreakBefore w:val="0"/>
        <w:kinsoku/>
        <w:wordWrap/>
        <w:overflowPunct/>
        <w:topLinePunct w:val="0"/>
        <w:bidi w:val="0"/>
        <w:adjustRightInd/>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sz w:val="32"/>
          <w:szCs w:val="32"/>
          <w:u w:val="none"/>
          <w:lang w:eastAsia="zh-CN"/>
        </w:rPr>
        <w:t>我局于</w:t>
      </w:r>
      <w:r>
        <w:rPr>
          <w:rFonts w:hint="eastAsia" w:ascii="仿宋_GB2312" w:hAnsi="仿宋_GB2312" w:eastAsia="仿宋_GB2312" w:cs="仿宋_GB2312"/>
          <w:color w:val="000000"/>
          <w:sz w:val="32"/>
          <w:szCs w:val="32"/>
          <w:u w:val="none"/>
          <w:lang w:val="en-US" w:eastAsia="zh-CN"/>
        </w:rPr>
        <w:t>2025年3月24日</w:t>
      </w:r>
      <w:r>
        <w:rPr>
          <w:rFonts w:hint="eastAsia" w:ascii="仿宋_GB2312" w:hAnsi="仿宋_GB2312" w:eastAsia="仿宋_GB2312" w:cs="仿宋_GB2312"/>
          <w:sz w:val="32"/>
          <w:szCs w:val="32"/>
          <w:u w:val="none" w:color="auto"/>
        </w:rPr>
        <w:t>向当事人送达偃市监罚告〔202</w:t>
      </w:r>
      <w:r>
        <w:rPr>
          <w:rFonts w:hint="eastAsia" w:ascii="仿宋_GB2312" w:hAnsi="仿宋_GB2312" w:eastAsia="仿宋_GB2312" w:cs="仿宋_GB2312"/>
          <w:sz w:val="32"/>
          <w:szCs w:val="32"/>
          <w:u w:val="none" w:color="auto"/>
          <w:lang w:val="en-US" w:eastAsia="zh-CN"/>
        </w:rPr>
        <w:t>5</w:t>
      </w:r>
      <w:r>
        <w:rPr>
          <w:rFonts w:hint="eastAsia" w:ascii="仿宋_GB2312" w:hAnsi="仿宋_GB2312" w:eastAsia="仿宋_GB2312" w:cs="仿宋_GB2312"/>
          <w:sz w:val="32"/>
          <w:szCs w:val="32"/>
          <w:u w:val="none" w:color="auto"/>
        </w:rPr>
        <w:t>〕</w:t>
      </w:r>
      <w:r>
        <w:rPr>
          <w:rFonts w:hint="eastAsia" w:ascii="仿宋_GB2312" w:hAnsi="仿宋_GB2312" w:eastAsia="仿宋_GB2312" w:cs="仿宋_GB2312"/>
          <w:sz w:val="32"/>
          <w:szCs w:val="32"/>
          <w:u w:val="none" w:color="auto"/>
          <w:lang w:val="en-US" w:eastAsia="zh-CN"/>
        </w:rPr>
        <w:t>22</w:t>
      </w:r>
      <w:r>
        <w:rPr>
          <w:rFonts w:hint="eastAsia" w:ascii="仿宋_GB2312" w:hAnsi="仿宋_GB2312" w:eastAsia="仿宋_GB2312" w:cs="仿宋_GB2312"/>
          <w:sz w:val="32"/>
          <w:szCs w:val="32"/>
          <w:u w:val="none" w:color="auto"/>
        </w:rPr>
        <w:t>号《行政处罚告知书》，</w:t>
      </w:r>
      <w:r>
        <w:rPr>
          <w:rFonts w:hint="eastAsia" w:ascii="仿宋_GB2312" w:hAnsi="仿宋_GB2312" w:eastAsia="仿宋_GB2312" w:cs="仿宋_GB2312"/>
          <w:sz w:val="32"/>
          <w:szCs w:val="32"/>
          <w:lang w:eastAsia="zh-CN"/>
        </w:rPr>
        <w:t>告知当事人我局拟作出行政处罚决定的事实、理由、依据、内容以及当事人依法享有的陈述权、申辩权。当事人在法定期限内未向我局提出陈述、申辩意见。</w:t>
      </w:r>
    </w:p>
    <w:p w14:paraId="7101734D">
      <w:pPr>
        <w:keepNext w:val="0"/>
        <w:keepLines w:val="0"/>
        <w:pageBreakBefore w:val="0"/>
        <w:kinsoku/>
        <w:wordWrap/>
        <w:overflowPunct/>
        <w:topLinePunct w:val="0"/>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Cs/>
          <w:sz w:val="32"/>
          <w:szCs w:val="32"/>
          <w:u w:val="none" w:color="auto"/>
        </w:rPr>
        <w:t>依据《中华人民共和国商标法》第六十条第二款：“工商行政管理部门处理时，认定侵权行为成立的，责令立即停止侵权行为，没收、销毁侵权商品和主要用于制造侵权商品、伪造注册商标标识的工具，违法经营额五万元以上的，可以处违法经营额五倍以下的罚款，没有违法经营额或者违法经营额不足五万元的，可以处二十五万元以下的罚款。对五年内实施两次以上商标侵权行为或者有其他严重情节的，应当从重处罚。销售不知道是侵犯注册商标专用权的商品，能证明该商品是自己合法取得并说明提供者的，由工商行政管理部门责令停止销售。”之规定，参照《河南省市场监督管理行政处罚裁量基准（2023版）》：</w:t>
      </w:r>
      <w:r>
        <w:rPr>
          <w:rFonts w:hint="eastAsia" w:ascii="仿宋_GB2312" w:hAnsi="仿宋_GB2312" w:eastAsia="仿宋_GB2312" w:cs="仿宋_GB2312"/>
          <w:bCs/>
          <w:sz w:val="32"/>
          <w:szCs w:val="32"/>
          <w:u w:val="none" w:color="auto"/>
          <w:lang w:eastAsia="zh-CN"/>
        </w:rPr>
        <w:t>“</w:t>
      </w:r>
      <w:r>
        <w:rPr>
          <w:rFonts w:hint="eastAsia" w:ascii="仿宋_GB2312" w:hAnsi="仿宋_GB2312" w:eastAsia="仿宋_GB2312" w:cs="仿宋_GB2312"/>
          <w:bCs/>
          <w:sz w:val="32"/>
          <w:szCs w:val="32"/>
          <w:u w:val="none" w:color="auto"/>
        </w:rPr>
        <w:t>9.1.3.依据《商标法》第六十条第二款实施的行政处罚， 裁量等级：一般，违法情形：不具有从轻、从重处罚情形。裁量基准：没收、销毁侵权商品和主要用于制造侵权商品、伪造注册商标标识的工具，违法经营额5万元以上的，处违法经营额3.5倍以下的罚款，没有违法经营额或者违法经营额不足5万元的，处17.5万元以下的罚款。”之规定</w:t>
      </w:r>
      <w:r>
        <w:rPr>
          <w:rFonts w:hint="eastAsia" w:ascii="仿宋_GB2312" w:hAnsi="仿宋_GB2312" w:eastAsia="仿宋_GB2312" w:cs="仿宋_GB2312"/>
          <w:bCs/>
          <w:sz w:val="32"/>
          <w:szCs w:val="32"/>
          <w:u w:val="none" w:color="auto"/>
          <w:lang w:eastAsia="zh-CN"/>
        </w:rPr>
        <w:t>，我局研究决定，</w:t>
      </w:r>
      <w:r>
        <w:rPr>
          <w:rFonts w:hint="eastAsia" w:ascii="仿宋_GB2312" w:hAnsi="仿宋_GB2312" w:eastAsia="仿宋_GB2312" w:cs="仿宋_GB2312"/>
          <w:bCs/>
          <w:sz w:val="32"/>
          <w:szCs w:val="32"/>
          <w:u w:val="none" w:color="auto"/>
        </w:rPr>
        <w:t>责令</w:t>
      </w:r>
      <w:r>
        <w:rPr>
          <w:rFonts w:hint="eastAsia" w:ascii="仿宋_GB2312" w:hAnsi="仿宋_GB2312" w:eastAsia="仿宋_GB2312" w:cs="仿宋_GB2312"/>
          <w:bCs/>
          <w:sz w:val="32"/>
          <w:szCs w:val="32"/>
          <w:u w:val="none" w:color="auto"/>
          <w:lang w:eastAsia="zh-CN"/>
        </w:rPr>
        <w:t>洛阳春晖鞋业有限公司</w:t>
      </w:r>
      <w:r>
        <w:rPr>
          <w:rFonts w:hint="eastAsia" w:ascii="仿宋_GB2312" w:hAnsi="仿宋_GB2312" w:eastAsia="仿宋_GB2312" w:cs="仿宋_GB2312"/>
          <w:bCs/>
          <w:sz w:val="32"/>
          <w:szCs w:val="32"/>
          <w:u w:val="none" w:color="auto"/>
        </w:rPr>
        <w:t>立即停止侵权行为，没收</w:t>
      </w:r>
      <w:r>
        <w:rPr>
          <w:rFonts w:hint="eastAsia" w:ascii="仿宋_GB2312" w:hAnsi="仿宋_GB2312" w:eastAsia="仿宋_GB2312" w:cs="仿宋_GB2312"/>
          <w:bCs/>
          <w:sz w:val="32"/>
          <w:szCs w:val="32"/>
          <w:u w:val="none" w:color="auto"/>
          <w:lang w:eastAsia="zh-CN"/>
        </w:rPr>
        <w:t>涉案</w:t>
      </w:r>
      <w:r>
        <w:rPr>
          <w:rFonts w:hint="eastAsia" w:ascii="仿宋_GB2312" w:hAnsi="仿宋_GB2312" w:eastAsia="仿宋_GB2312" w:cs="仿宋_GB2312"/>
          <w:bCs/>
          <w:sz w:val="32"/>
          <w:szCs w:val="32"/>
          <w:u w:val="none" w:color="auto"/>
        </w:rPr>
        <w:t>鞋</w:t>
      </w:r>
      <w:r>
        <w:rPr>
          <w:rFonts w:hint="eastAsia" w:ascii="仿宋_GB2312" w:hAnsi="仿宋_GB2312" w:eastAsia="仿宋_GB2312" w:cs="仿宋_GB2312"/>
          <w:bCs/>
          <w:sz w:val="32"/>
          <w:szCs w:val="32"/>
          <w:u w:val="none" w:color="auto"/>
          <w:lang w:val="en-US" w:eastAsia="zh-CN"/>
        </w:rPr>
        <w:t>25</w:t>
      </w:r>
      <w:r>
        <w:rPr>
          <w:rFonts w:hint="eastAsia" w:ascii="仿宋_GB2312" w:hAnsi="仿宋_GB2312" w:eastAsia="仿宋_GB2312" w:cs="仿宋_GB2312"/>
          <w:bCs/>
          <w:sz w:val="32"/>
          <w:szCs w:val="32"/>
          <w:u w:val="none" w:color="auto"/>
        </w:rPr>
        <w:t>双、鞋帮4</w:t>
      </w:r>
      <w:r>
        <w:rPr>
          <w:rFonts w:hint="eastAsia" w:ascii="仿宋_GB2312" w:hAnsi="仿宋_GB2312" w:eastAsia="仿宋_GB2312" w:cs="仿宋_GB2312"/>
          <w:bCs/>
          <w:sz w:val="32"/>
          <w:szCs w:val="32"/>
          <w:u w:val="none" w:color="auto"/>
          <w:lang w:val="en-US" w:eastAsia="zh-CN"/>
        </w:rPr>
        <w:t>5</w:t>
      </w:r>
      <w:r>
        <w:rPr>
          <w:rFonts w:hint="eastAsia" w:ascii="仿宋_GB2312" w:hAnsi="仿宋_GB2312" w:eastAsia="仿宋_GB2312" w:cs="仿宋_GB2312"/>
          <w:bCs/>
          <w:sz w:val="32"/>
          <w:szCs w:val="32"/>
          <w:u w:val="none" w:color="auto"/>
        </w:rPr>
        <w:t>双，处</w:t>
      </w:r>
      <w:r>
        <w:rPr>
          <w:rFonts w:hint="eastAsia" w:ascii="仿宋_GB2312" w:hAnsi="仿宋_GB2312" w:eastAsia="仿宋_GB2312" w:cs="仿宋_GB2312"/>
          <w:bCs/>
          <w:sz w:val="32"/>
          <w:szCs w:val="32"/>
          <w:u w:val="none" w:color="auto"/>
          <w:lang w:val="en-US" w:eastAsia="zh-CN"/>
        </w:rPr>
        <w:t>5</w:t>
      </w:r>
      <w:r>
        <w:rPr>
          <w:rFonts w:hint="eastAsia" w:ascii="仿宋_GB2312" w:hAnsi="仿宋_GB2312" w:eastAsia="仿宋_GB2312" w:cs="仿宋_GB2312"/>
          <w:bCs/>
          <w:sz w:val="32"/>
          <w:szCs w:val="32"/>
          <w:u w:val="none" w:color="auto"/>
        </w:rPr>
        <w:t>0000元罚款。</w:t>
      </w:r>
    </w:p>
    <w:p w14:paraId="19DA07E6">
      <w:pPr>
        <w:keepNext w:val="0"/>
        <w:keepLines w:val="0"/>
        <w:pageBreakBefore w:val="0"/>
        <w:wordWrap/>
        <w:overflowPunct/>
        <w:topLinePunct w:val="0"/>
        <w:bidi w:val="0"/>
        <w:spacing w:line="560" w:lineRule="exact"/>
        <w:ind w:right="-19" w:rightChars="-9"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14:paraId="6E74D9DF">
      <w:pPr>
        <w:keepNext w:val="0"/>
        <w:keepLines w:val="0"/>
        <w:pageBreakBefore w:val="0"/>
        <w:wordWrap/>
        <w:overflowPunct/>
        <w:topLinePunct w:val="0"/>
        <w:bidi w:val="0"/>
        <w:spacing w:line="560" w:lineRule="exact"/>
        <w:ind w:right="-19" w:rightChars="-9" w:firstLine="640" w:firstLineChars="200"/>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根据《中华人民共和国行政处罚法》第七十二条规定，当事人逾期不履行行政处罚决定的，本机关可以采取以下措施：（一）到期不缴纳罚款的，每日按罚款数额的百分之三加处罚款；（二）申请人民法院强制执行。            </w:t>
      </w:r>
    </w:p>
    <w:p w14:paraId="50C366F1">
      <w:pPr>
        <w:keepNext w:val="0"/>
        <w:keepLines w:val="0"/>
        <w:pageBreakBefore w:val="0"/>
        <w:wordWrap/>
        <w:overflowPunct/>
        <w:topLinePunct w:val="0"/>
        <w:bidi w:val="0"/>
        <w:spacing w:line="560" w:lineRule="exact"/>
        <w:ind w:right="-19" w:rightChars="-9" w:firstLine="640" w:firstLineChars="2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color w:val="231F20"/>
          <w:kern w:val="0"/>
          <w:sz w:val="32"/>
          <w:szCs w:val="32"/>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p>
    <w:p w14:paraId="45FDBD61">
      <w:pPr>
        <w:keepNext w:val="0"/>
        <w:keepLines w:val="0"/>
        <w:pageBreakBefore w:val="0"/>
        <w:wordWrap/>
        <w:overflowPunct/>
        <w:topLinePunct w:val="0"/>
        <w:bidi w:val="0"/>
        <w:spacing w:line="560" w:lineRule="exact"/>
        <w:ind w:right="-19" w:rightChars="-9" w:firstLine="3200" w:firstLineChars="1000"/>
        <w:textAlignment w:val="baseline"/>
        <w:rPr>
          <w:rFonts w:hint="eastAsia" w:ascii="仿宋_GB2312" w:hAnsi="仿宋_GB2312" w:eastAsia="仿宋_GB2312" w:cs="仿宋_GB2312"/>
          <w:sz w:val="32"/>
          <w:szCs w:val="32"/>
        </w:rPr>
      </w:pPr>
    </w:p>
    <w:p w14:paraId="737537B1">
      <w:pPr>
        <w:keepNext w:val="0"/>
        <w:keepLines w:val="0"/>
        <w:pageBreakBefore w:val="0"/>
        <w:wordWrap/>
        <w:overflowPunct/>
        <w:topLinePunct w:val="0"/>
        <w:bidi w:val="0"/>
        <w:spacing w:line="560" w:lineRule="exact"/>
        <w:ind w:right="-19" w:rightChars="-9" w:firstLine="3200" w:firstLineChars="1000"/>
        <w:textAlignment w:val="baseline"/>
        <w:rPr>
          <w:rFonts w:hint="eastAsia" w:ascii="仿宋_GB2312" w:hAnsi="仿宋_GB2312" w:eastAsia="仿宋_GB2312" w:cs="仿宋_GB2312"/>
          <w:sz w:val="32"/>
          <w:szCs w:val="32"/>
        </w:rPr>
      </w:pPr>
    </w:p>
    <w:p w14:paraId="15F87C0F">
      <w:pPr>
        <w:keepNext w:val="0"/>
        <w:keepLines w:val="0"/>
        <w:pageBreakBefore w:val="0"/>
        <w:wordWrap/>
        <w:overflowPunct/>
        <w:topLinePunct w:val="0"/>
        <w:bidi w:val="0"/>
        <w:spacing w:line="560" w:lineRule="exact"/>
        <w:ind w:right="-19" w:rightChars="-9" w:firstLine="3200" w:firstLineChars="1000"/>
        <w:textAlignment w:val="baseline"/>
        <w:rPr>
          <w:rFonts w:hint="eastAsia" w:ascii="仿宋_GB2312" w:hAnsi="仿宋_GB2312" w:eastAsia="仿宋_GB2312" w:cs="仿宋_GB2312"/>
          <w:sz w:val="32"/>
          <w:szCs w:val="32"/>
        </w:rPr>
      </w:pPr>
    </w:p>
    <w:p w14:paraId="659CD86F">
      <w:pPr>
        <w:keepNext w:val="0"/>
        <w:keepLines w:val="0"/>
        <w:pageBreakBefore w:val="0"/>
        <w:wordWrap/>
        <w:overflowPunct/>
        <w:topLinePunct w:val="0"/>
        <w:bidi w:val="0"/>
        <w:spacing w:line="560" w:lineRule="exact"/>
        <w:ind w:right="-19" w:rightChars="-9" w:firstLine="3200" w:firstLineChars="1000"/>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洛阳市偃师区市场监督管理局</w:t>
      </w:r>
    </w:p>
    <w:p w14:paraId="71CB0632">
      <w:pPr>
        <w:keepNext w:val="0"/>
        <w:keepLines w:val="0"/>
        <w:pageBreakBefore w:val="0"/>
        <w:wordWrap/>
        <w:overflowPunct/>
        <w:topLinePunct w:val="0"/>
        <w:bidi w:val="0"/>
        <w:spacing w:line="560" w:lineRule="exact"/>
        <w:ind w:right="640" w:firstLine="4480" w:firstLineChars="1400"/>
        <w:jc w:val="both"/>
        <w:rPr>
          <w:rFonts w:hint="eastAsia" w:ascii="仿宋_GB2312" w:hAnsi="仿宋_GB2312" w:eastAsia="仿宋_GB2312" w:cs="仿宋_GB2312"/>
          <w:color w:val="000000"/>
          <w:sz w:val="32"/>
          <w:szCs w:val="32"/>
          <w:lang w:val="en-US" w:eastAsia="zh-CN"/>
        </w:rPr>
      </w:pPr>
    </w:p>
    <w:p w14:paraId="22407E8F">
      <w:pPr>
        <w:keepNext w:val="0"/>
        <w:keepLines w:val="0"/>
        <w:pageBreakBefore w:val="0"/>
        <w:wordWrap/>
        <w:overflowPunct/>
        <w:topLinePunct w:val="0"/>
        <w:bidi w:val="0"/>
        <w:spacing w:line="560" w:lineRule="exact"/>
        <w:ind w:right="640" w:firstLine="4480" w:firstLineChars="1400"/>
        <w:jc w:val="both"/>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2025</w:t>
      </w:r>
      <w:r>
        <w:rPr>
          <w:rFonts w:hint="eastAsia"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月</w:t>
      </w:r>
      <w:r>
        <w:rPr>
          <w:rFonts w:hint="eastAsia" w:ascii="仿宋_GB2312" w:hAnsi="仿宋_GB2312" w:eastAsia="仿宋_GB2312" w:cs="仿宋_GB2312"/>
          <w:color w:val="000000"/>
          <w:sz w:val="32"/>
          <w:szCs w:val="32"/>
          <w:lang w:val="en-US" w:eastAsia="zh-CN"/>
        </w:rPr>
        <w:t>2</w:t>
      </w:r>
      <w:r>
        <w:rPr>
          <w:rFonts w:hint="eastAsia" w:ascii="仿宋_GB2312" w:hAnsi="仿宋_GB2312" w:eastAsia="仿宋_GB2312" w:cs="仿宋_GB2312"/>
          <w:color w:val="000000"/>
          <w:sz w:val="32"/>
          <w:szCs w:val="32"/>
        </w:rPr>
        <w:t xml:space="preserve">日          </w:t>
      </w:r>
    </w:p>
    <w:p w14:paraId="13C4882C">
      <w:pPr>
        <w:pStyle w:val="3"/>
        <w:keepNext w:val="0"/>
        <w:keepLines w:val="0"/>
        <w:pageBreakBefore w:val="0"/>
        <w:wordWrap/>
        <w:overflowPunct/>
        <w:topLinePunct w:val="0"/>
        <w:bidi w:val="0"/>
        <w:spacing w:before="1" w:beforeLines="0" w:line="560" w:lineRule="exact"/>
        <w:ind w:left="163"/>
        <w:rPr>
          <w:rFonts w:hint="eastAsia" w:ascii="仿宋_GB2312" w:hAnsi="仿宋_GB2312" w:eastAsia="仿宋_GB2312" w:cs="仿宋_GB2312"/>
          <w:color w:val="231F20"/>
          <w:spacing w:val="-16"/>
          <w:sz w:val="32"/>
          <w:szCs w:val="32"/>
        </w:rPr>
      </w:pPr>
    </w:p>
    <w:p w14:paraId="06B92583">
      <w:pPr>
        <w:pStyle w:val="3"/>
        <w:keepNext w:val="0"/>
        <w:keepLines w:val="0"/>
        <w:pageBreakBefore w:val="0"/>
        <w:wordWrap/>
        <w:overflowPunct/>
        <w:topLinePunct w:val="0"/>
        <w:bidi w:val="0"/>
        <w:spacing w:before="1" w:beforeLines="0" w:line="560" w:lineRule="exact"/>
        <w:ind w:left="163"/>
        <w:rPr>
          <w:rFonts w:hint="eastAsia" w:ascii="仿宋_GB2312" w:hAnsi="仿宋_GB2312" w:eastAsia="仿宋_GB2312" w:cs="仿宋_GB2312"/>
          <w:bCs/>
          <w:color w:val="000000"/>
          <w:sz w:val="32"/>
          <w:szCs w:val="32"/>
        </w:rPr>
      </w:pPr>
      <w:r>
        <w:rPr>
          <w:rFonts w:hint="eastAsia" w:ascii="仿宋_GB2312" w:hAnsi="仿宋_GB2312" w:eastAsia="仿宋_GB2312" w:cs="仿宋_GB2312"/>
          <w:color w:val="231F20"/>
          <w:spacing w:val="-16"/>
          <w:sz w:val="32"/>
          <w:szCs w:val="32"/>
        </w:rPr>
        <w:t>（市场监督管理部门将依法向社会公开行政处罚决定信息）</w:t>
      </w:r>
      <w:r>
        <w:rPr>
          <w:rFonts w:hint="eastAsia" w:ascii="仿宋_GB2312" w:hAnsi="仿宋_GB2312" w:eastAsia="仿宋_GB2312" w:cs="仿宋_GB2312"/>
          <w:color w:val="000000"/>
          <w:sz w:val="32"/>
          <w:szCs w:val="32"/>
          <w:u w:val="none"/>
          <w:lang w:eastAsia="zh-CN"/>
        </w:rPr>
        <w:tab/>
      </w:r>
    </w:p>
    <w:p w14:paraId="18EB9EA6">
      <w:pPr>
        <w:keepNext w:val="0"/>
        <w:keepLines w:val="0"/>
        <w:pageBreakBefore w:val="0"/>
        <w:widowControl/>
        <w:kinsoku w:val="0"/>
        <w:wordWrap/>
        <w:overflowPunct/>
        <w:topLinePunct w:val="0"/>
        <w:autoSpaceDE w:val="0"/>
        <w:autoSpaceDN w:val="0"/>
        <w:bidi w:val="0"/>
        <w:adjustRightInd w:val="0"/>
        <w:snapToGrid w:val="0"/>
        <w:spacing w:before="104" w:line="560" w:lineRule="exact"/>
        <w:textAlignment w:val="baseline"/>
        <w:rPr>
          <w:rFonts w:hint="eastAsia" w:ascii="仿宋_GB2312" w:hAnsi="仿宋_GB2312" w:eastAsia="仿宋_GB2312" w:cs="仿宋_GB2312"/>
          <w:color w:val="000000"/>
          <w:sz w:val="32"/>
          <w:szCs w:val="32"/>
        </w:rPr>
      </w:pPr>
      <w:r>
        <w:rPr>
          <w:rFonts w:hint="eastAsia" w:ascii="仿宋_GB2312" w:hAnsi="仿宋_GB2312" w:eastAsia="仿宋_GB2312" w:cs="仿宋_GB2312"/>
          <w:sz w:val="32"/>
          <w:szCs w:val="32"/>
        </w:rPr>
        <mc:AlternateContent>
          <mc:Choice Requires="wps">
            <w:drawing>
              <wp:anchor distT="0" distB="0" distL="114300" distR="114300" simplePos="0" relativeHeight="251661312" behindDoc="0" locked="0" layoutInCell="1" allowOverlap="1">
                <wp:simplePos x="0" y="0"/>
                <wp:positionH relativeFrom="column">
                  <wp:align>center</wp:align>
                </wp:positionH>
                <wp:positionV relativeFrom="paragraph">
                  <wp:posOffset>-2540</wp:posOffset>
                </wp:positionV>
                <wp:extent cx="5550535" cy="635"/>
                <wp:effectExtent l="0" t="0" r="0" b="0"/>
                <wp:wrapNone/>
                <wp:docPr id="4" name="直接连接符 4"/>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top:-0.2pt;height:0.05pt;width:437.05pt;mso-position-horizontal:center;z-index:251661312;mso-width-relative:page;mso-height-relative:page;" filled="f" stroked="t" coordsize="21600,21600" o:gfxdata="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6nQaGtQAAAAEAQAADwAAAAAAAAABACAAAAAiAAAAZHJzL2Rvd25yZXYueG1sUEsBAhQA&#10;FAAAAAgAh07iQCy94tr2AQAA5wMAAA4AAAAAAAAAAQAgAAAAIwEAAGRycy9lMm9Eb2MueG1sUEsF&#10;BgAAAAAGAAYAWQEAAIsFAAAAAA==&#10;">
                <v:fill on="f" focussize="0,0"/>
                <v:stroke weight="1.25pt" color="#000000" joinstyle="round"/>
                <v:imagedata o:title=""/>
                <o:lock v:ext="edit" aspectratio="f"/>
              </v:line>
            </w:pict>
          </mc:Fallback>
        </mc:AlternateContent>
      </w:r>
      <w:r>
        <w:rPr>
          <w:rFonts w:hint="eastAsia" w:ascii="仿宋_GB2312" w:hAnsi="仿宋_GB2312" w:eastAsia="仿宋_GB2312" w:cs="仿宋_GB2312"/>
          <w:bCs/>
          <w:color w:val="000000"/>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5" name="直接连接符 5"/>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i+/zkdcAAAAKAQAADwAAAAAAAAABACAAAAAiAAAAZHJzL2Rvd25yZXYueG1s&#10;UEsBAhQAFAAAAAgAh07iQAMebpL5AQAA5QMAAA4AAAAAAAAAAQAgAAAAJgEAAGRycy9lMm9Eb2Mu&#10;eG1sUEsFBgAAAAAGAAYAWQEAAJEFAAAAAA==&#10;">
                <v:fill on="f" focussize="0,0"/>
                <v:stroke weight="0.737007874015748pt" color="#000000" joinstyle="round" endcap="square"/>
                <v:imagedata o:title=""/>
                <o:lock v:ext="edit" aspectratio="f"/>
              </v:line>
            </w:pict>
          </mc:Fallback>
        </mc:AlternateContent>
      </w:r>
      <w:r>
        <w:rPr>
          <w:rFonts w:hint="eastAsia" w:ascii="仿宋_GB2312" w:hAnsi="仿宋_GB2312" w:eastAsia="仿宋_GB2312" w:cs="仿宋_GB2312"/>
          <w:bCs/>
          <w:sz w:val="32"/>
          <w:szCs w:val="32"/>
        </w:rPr>
        <w:t>本文书一式三份</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bCs/>
          <w:sz w:val="32"/>
          <w:szCs w:val="32"/>
        </w:rPr>
        <w:t>一份送达，一份归档</w:t>
      </w: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bCs/>
          <w:sz w:val="32"/>
          <w:szCs w:val="32"/>
        </w:rPr>
        <w:t>一份办案机构留存。</w:t>
      </w:r>
    </w:p>
    <w:p w14:paraId="3E899CC8">
      <w:pPr>
        <w:spacing w:line="500" w:lineRule="exact"/>
        <w:rPr>
          <w:color w:val="auto"/>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angal">
    <w:panose1 w:val="02040503050203030202"/>
    <w:charset w:val="00"/>
    <w:family w:val="roman"/>
    <w:pitch w:val="default"/>
    <w:sig w:usb0="00008003"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9B09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C5BD9E">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7C5BD9E">
                    <w:pPr>
                      <w:pStyle w:val="4"/>
                      <w:rPr>
                        <w:rFonts w:hint="eastAsia" w:ascii="宋体" w:hAnsi="宋体" w:eastAsia="宋体" w:cs="宋体"/>
                        <w:sz w:val="28"/>
                        <w:szCs w:val="28"/>
                      </w:rPr>
                    </w:pPr>
                    <w:r>
                      <w:rPr>
                        <w:rFonts w:hint="eastAsia" w:ascii="宋体" w:hAnsi="宋体" w:eastAsia="宋体" w:cs="宋体"/>
                        <w:sz w:val="28"/>
                        <w:szCs w:val="28"/>
                      </w:rPr>
                      <w:t xml:space="preserve">第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页 共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NUMPAGES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multilevel"/>
    <w:tmpl w:val="00000008"/>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A"/>
    <w:multiLevelType w:val="multilevel"/>
    <w:tmpl w:val="0000000A"/>
    <w:lvl w:ilvl="0" w:tentative="0">
      <w:start w:val="1"/>
      <w:numFmt w:val="none"/>
      <w:pStyle w:val="2"/>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M2U5YzI2ZWYzNzA3YjY5MWY2NDE1MjMyNWZjOTUifQ=="/>
    <w:docVar w:name="KSO_WPS_MARK_KEY" w:val="3a570657-d4b9-4633-8bde-b1be1a221b99"/>
  </w:docVars>
  <w:rsids>
    <w:rsidRoot w:val="5BA419F7"/>
    <w:rsid w:val="00193C35"/>
    <w:rsid w:val="0032134F"/>
    <w:rsid w:val="010A478A"/>
    <w:rsid w:val="02B83402"/>
    <w:rsid w:val="042774DD"/>
    <w:rsid w:val="048D2705"/>
    <w:rsid w:val="04CD463F"/>
    <w:rsid w:val="04FA4431"/>
    <w:rsid w:val="05C51508"/>
    <w:rsid w:val="06476E0A"/>
    <w:rsid w:val="06BAE61F"/>
    <w:rsid w:val="071C7669"/>
    <w:rsid w:val="07580619"/>
    <w:rsid w:val="0776795A"/>
    <w:rsid w:val="07DA78EE"/>
    <w:rsid w:val="08365B64"/>
    <w:rsid w:val="087864F3"/>
    <w:rsid w:val="090B4D3A"/>
    <w:rsid w:val="09290BEC"/>
    <w:rsid w:val="09AA7B69"/>
    <w:rsid w:val="0A2F38BD"/>
    <w:rsid w:val="0A3665F0"/>
    <w:rsid w:val="0B22091D"/>
    <w:rsid w:val="0CF71776"/>
    <w:rsid w:val="0D242541"/>
    <w:rsid w:val="0FB748D6"/>
    <w:rsid w:val="103E22C5"/>
    <w:rsid w:val="11524677"/>
    <w:rsid w:val="115320F9"/>
    <w:rsid w:val="119E3BCA"/>
    <w:rsid w:val="1350279A"/>
    <w:rsid w:val="14203063"/>
    <w:rsid w:val="143E1E38"/>
    <w:rsid w:val="1490670C"/>
    <w:rsid w:val="152E563E"/>
    <w:rsid w:val="15B93156"/>
    <w:rsid w:val="16D23D7F"/>
    <w:rsid w:val="18325353"/>
    <w:rsid w:val="188449CB"/>
    <w:rsid w:val="18B229B2"/>
    <w:rsid w:val="19FE4517"/>
    <w:rsid w:val="1AE345F4"/>
    <w:rsid w:val="1B37398D"/>
    <w:rsid w:val="1C7339BB"/>
    <w:rsid w:val="1C7A5BA8"/>
    <w:rsid w:val="1E664711"/>
    <w:rsid w:val="1EC222D9"/>
    <w:rsid w:val="1F2B5D07"/>
    <w:rsid w:val="1FC004DE"/>
    <w:rsid w:val="1FD31F15"/>
    <w:rsid w:val="212E3259"/>
    <w:rsid w:val="22287087"/>
    <w:rsid w:val="237778B4"/>
    <w:rsid w:val="23F5677C"/>
    <w:rsid w:val="24626694"/>
    <w:rsid w:val="258D6CE0"/>
    <w:rsid w:val="27A45517"/>
    <w:rsid w:val="2B1B3EFC"/>
    <w:rsid w:val="2CEA3815"/>
    <w:rsid w:val="2DE10173"/>
    <w:rsid w:val="2F327E79"/>
    <w:rsid w:val="2F7CE1EF"/>
    <w:rsid w:val="2F8A6913"/>
    <w:rsid w:val="30DB5683"/>
    <w:rsid w:val="30FA2F6D"/>
    <w:rsid w:val="31562B39"/>
    <w:rsid w:val="31BE0AF5"/>
    <w:rsid w:val="32CE76E8"/>
    <w:rsid w:val="3334290F"/>
    <w:rsid w:val="33740640"/>
    <w:rsid w:val="3585615B"/>
    <w:rsid w:val="363C12E3"/>
    <w:rsid w:val="368E5656"/>
    <w:rsid w:val="377FBB27"/>
    <w:rsid w:val="37F16547"/>
    <w:rsid w:val="38B63DA7"/>
    <w:rsid w:val="3930619F"/>
    <w:rsid w:val="3997757B"/>
    <w:rsid w:val="3A4E178D"/>
    <w:rsid w:val="3BF97ECA"/>
    <w:rsid w:val="3C2965F0"/>
    <w:rsid w:val="3D6B1177"/>
    <w:rsid w:val="3E5F4AE1"/>
    <w:rsid w:val="3E853745"/>
    <w:rsid w:val="3F2604DF"/>
    <w:rsid w:val="3F6783E4"/>
    <w:rsid w:val="3F842066"/>
    <w:rsid w:val="3FFF82D4"/>
    <w:rsid w:val="402E7C06"/>
    <w:rsid w:val="40FE5F8F"/>
    <w:rsid w:val="425049CE"/>
    <w:rsid w:val="442B16EC"/>
    <w:rsid w:val="458F64B9"/>
    <w:rsid w:val="45C51FFB"/>
    <w:rsid w:val="46157ACD"/>
    <w:rsid w:val="47243FC5"/>
    <w:rsid w:val="48C10000"/>
    <w:rsid w:val="4A555101"/>
    <w:rsid w:val="4ADF49AE"/>
    <w:rsid w:val="4B20564B"/>
    <w:rsid w:val="4B8F0B22"/>
    <w:rsid w:val="4B9E7576"/>
    <w:rsid w:val="4C02380F"/>
    <w:rsid w:val="4C7C04B3"/>
    <w:rsid w:val="4CC8271B"/>
    <w:rsid w:val="4D9306AE"/>
    <w:rsid w:val="4E8950D9"/>
    <w:rsid w:val="4F722566"/>
    <w:rsid w:val="4F93378A"/>
    <w:rsid w:val="503F09B5"/>
    <w:rsid w:val="516D5500"/>
    <w:rsid w:val="52802336"/>
    <w:rsid w:val="53A0483E"/>
    <w:rsid w:val="542D3A91"/>
    <w:rsid w:val="547C0750"/>
    <w:rsid w:val="55FE5622"/>
    <w:rsid w:val="57503162"/>
    <w:rsid w:val="58A4140A"/>
    <w:rsid w:val="591F0542"/>
    <w:rsid w:val="59A10938"/>
    <w:rsid w:val="5BA419F7"/>
    <w:rsid w:val="5BEF1DBF"/>
    <w:rsid w:val="5BF91583"/>
    <w:rsid w:val="5BFB2E57"/>
    <w:rsid w:val="5BFF63DC"/>
    <w:rsid w:val="5C5D2BD9"/>
    <w:rsid w:val="5DD7483B"/>
    <w:rsid w:val="5E5FAB03"/>
    <w:rsid w:val="5E605C94"/>
    <w:rsid w:val="5EA00CBE"/>
    <w:rsid w:val="5F9FEDD5"/>
    <w:rsid w:val="5FBEF003"/>
    <w:rsid w:val="5FE33914"/>
    <w:rsid w:val="5FFA4D85"/>
    <w:rsid w:val="602422E6"/>
    <w:rsid w:val="60B635F2"/>
    <w:rsid w:val="60C16F3B"/>
    <w:rsid w:val="612E7E8C"/>
    <w:rsid w:val="617678F3"/>
    <w:rsid w:val="61DC2B1A"/>
    <w:rsid w:val="636955DE"/>
    <w:rsid w:val="646E5E05"/>
    <w:rsid w:val="64E43803"/>
    <w:rsid w:val="657F58CB"/>
    <w:rsid w:val="66934D57"/>
    <w:rsid w:val="6AD7030F"/>
    <w:rsid w:val="6BA277B7"/>
    <w:rsid w:val="6BCC1BB9"/>
    <w:rsid w:val="6C6723F1"/>
    <w:rsid w:val="6CA517CF"/>
    <w:rsid w:val="6D064CEC"/>
    <w:rsid w:val="6D6C7F13"/>
    <w:rsid w:val="6D923254"/>
    <w:rsid w:val="6DD2313B"/>
    <w:rsid w:val="6E04767D"/>
    <w:rsid w:val="6E355D52"/>
    <w:rsid w:val="6E6950E9"/>
    <w:rsid w:val="6ED952C0"/>
    <w:rsid w:val="6F013B3F"/>
    <w:rsid w:val="6F732ABB"/>
    <w:rsid w:val="6FF58B64"/>
    <w:rsid w:val="6FF8F863"/>
    <w:rsid w:val="70CF02CA"/>
    <w:rsid w:val="70F532B7"/>
    <w:rsid w:val="71013020"/>
    <w:rsid w:val="710D7C3E"/>
    <w:rsid w:val="71FC56E7"/>
    <w:rsid w:val="7376089F"/>
    <w:rsid w:val="74E06ABE"/>
    <w:rsid w:val="75B2DA43"/>
    <w:rsid w:val="75BD90DB"/>
    <w:rsid w:val="75CC41D0"/>
    <w:rsid w:val="75F8119D"/>
    <w:rsid w:val="76222141"/>
    <w:rsid w:val="76704CDE"/>
    <w:rsid w:val="76D869B3"/>
    <w:rsid w:val="76FD0A98"/>
    <w:rsid w:val="77DF8BD4"/>
    <w:rsid w:val="77EFD5CC"/>
    <w:rsid w:val="77FFADAC"/>
    <w:rsid w:val="7835649C"/>
    <w:rsid w:val="789620E4"/>
    <w:rsid w:val="78FD530C"/>
    <w:rsid w:val="7AFB4DD2"/>
    <w:rsid w:val="7B0F6E9A"/>
    <w:rsid w:val="7BA46A39"/>
    <w:rsid w:val="7BFD6076"/>
    <w:rsid w:val="7C8E43D6"/>
    <w:rsid w:val="7DA813EB"/>
    <w:rsid w:val="7DFF108F"/>
    <w:rsid w:val="7EED8AE6"/>
    <w:rsid w:val="7F5A6980"/>
    <w:rsid w:val="7FEADF5C"/>
    <w:rsid w:val="91BF8AB9"/>
    <w:rsid w:val="9FF1B21D"/>
    <w:rsid w:val="B7BFD803"/>
    <w:rsid w:val="BD5EB179"/>
    <w:rsid w:val="BD7F788E"/>
    <w:rsid w:val="DEFF1EB3"/>
    <w:rsid w:val="DF3F4C88"/>
    <w:rsid w:val="DF7A9960"/>
    <w:rsid w:val="DFBF15D5"/>
    <w:rsid w:val="DFD70EC8"/>
    <w:rsid w:val="DFFE6C63"/>
    <w:rsid w:val="E53DE605"/>
    <w:rsid w:val="E775D448"/>
    <w:rsid w:val="ECC7B000"/>
    <w:rsid w:val="F0ED2927"/>
    <w:rsid w:val="F3EF5848"/>
    <w:rsid w:val="F5A28C7E"/>
    <w:rsid w:val="F9BF6AE4"/>
    <w:rsid w:val="FB57F652"/>
    <w:rsid w:val="FBBF88F6"/>
    <w:rsid w:val="FBFEBC90"/>
    <w:rsid w:val="FCF69F69"/>
    <w:rsid w:val="FD7BEF22"/>
    <w:rsid w:val="FD8BB826"/>
    <w:rsid w:val="FD9199D6"/>
    <w:rsid w:val="FDAC17BA"/>
    <w:rsid w:val="FDDF4064"/>
    <w:rsid w:val="FDF46C9E"/>
    <w:rsid w:val="FEAFF630"/>
    <w:rsid w:val="FEDEBCAC"/>
    <w:rsid w:val="FF7F62AA"/>
    <w:rsid w:val="FFDBA3A8"/>
    <w:rsid w:val="FFDF073B"/>
    <w:rsid w:val="FFFE0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numPr>
        <w:ilvl w:val="0"/>
        <w:numId w:val="1"/>
      </w:numPr>
      <w:spacing w:before="240" w:after="120"/>
      <w:jc w:val="left"/>
      <w:outlineLvl w:val="0"/>
    </w:pPr>
    <w:rPr>
      <w:rFonts w:ascii="Times New Roman" w:hAnsi="Times New Roman" w:cs="Mangal"/>
      <w:color w:val="00000A"/>
      <w:sz w:val="24"/>
      <w:lang w:val="zh-CN" w:bidi="hi-IN"/>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unhideWhenUsed/>
    <w:qFormat/>
    <w:uiPriority w:val="99"/>
    <w:pPr>
      <w:tabs>
        <w:tab w:val="center" w:pos="4153"/>
        <w:tab w:val="right" w:pos="8306"/>
      </w:tabs>
      <w:snapToGrid w:val="0"/>
      <w:jc w:val="left"/>
    </w:pPr>
    <w:rPr>
      <w:rFonts w:ascii="Calibri" w:hAnsi="Calibri" w:eastAsia="宋体" w:cs="Times New Roman"/>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2919</Words>
  <Characters>3264</Characters>
  <Lines>0</Lines>
  <Paragraphs>0</Paragraphs>
  <TotalTime>1</TotalTime>
  <ScaleCrop>false</ScaleCrop>
  <LinksUpToDate>false</LinksUpToDate>
  <CharactersWithSpaces>3501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2021-08-02T10:04:00Z</dcterms:created>
  <dc:creator>胖林宝宝噜啦噜～</dc:creator>
  <cp:lastModifiedBy>王建清</cp:lastModifiedBy>
  <dcterms:modified xsi:type="dcterms:W3CDTF">2025-08-19T06:40:41Z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779EB8F768A24699A8A2F677A3F8C346_13</vt:lpwstr>
  </property>
  <property fmtid="{D5CDD505-2E9C-101B-9397-08002B2CF9AE}" pid="4" name="KSOTemplateDocerSaveRecord">
    <vt:lpwstr>eyJoZGlkIjoiOTJkNzdiMWY1ZWU2ZWU3NmE4ZTUxNGRmYWVhMzdjNDQiLCJ1c2VySWQiOiI4ODA3MzMzNDYifQ==</vt:lpwstr>
  </property>
</Properties>
</file>